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der Verteidigung</w:t>
      </w:r>
    </w:p>
    <w:p>
      <w:pPr>
        <w:jc w:val="left"/>
      </w:pPr>
      <w:r>
        <w:t>Kanzlei Bremer &amp; Partner, Hohenzollernring 22, 50672 Köln</w:t>
      </w:r>
    </w:p>
    <w:p>
      <w:pPr>
        <w:jc w:val="left"/>
      </w:pPr>
      <w:r>
        <w:t>Unsere Ref.: BP-2026-ROT-011. Vermerk gefertigt von RA Dr. Andreas Bremer am 9. April 2026. Telefonat mit RA Dr. Friedhelm Rotbruch am 9. April 2026, 15:40 bis 16:35 Uhr. Gegenstand: Vorbereitung des Gütetermins am 15. Mai 2026 (LG Köln 2 O 188/26) und Stellungnahmefrist im Kammerverfahren RAK-K 2026-0188.</w:t>
      </w:r>
    </w:p>
    <w:p>
      <w:pPr>
        <w:jc w:val="left"/>
      </w:pPr>
      <w:r>
        <w:t>1 Erinnerung des Mandanten an die Beratung im April 2022</w:t>
      </w:r>
    </w:p>
    <w:p>
      <w:pPr>
        <w:jc w:val="left"/>
      </w:pPr>
      <w:r>
        <w:t>Dr. Rotbruch schildert, er habe mit Frau Habernau am 25. April 2022, drei Tage vor der Beurkundung, ein längeres Telefonat geführt und darin die Verzichtsklauseln mündlich erläutert. Das Telefonat habe nach seiner Erinnerung etwa 40 Minuten gedauert und am späten Nachmittag stattgefunden. Eine Gesprächsnotiz hierzu findet sich in der Handakte nicht. In der Zeiterfassung der Kanzlei ist für den 25. April 2022 unter dem Mandat ein Eintrag von 0.5 Stunden mit dem Kürzel "Tel. Mdt." verzeichnet, ohne inhaltliche Angaben. Dr. Rotbruch meint, seine damalige Sekretärin Frau Kolb habe das Gespräch vermittelt und könne sich möglicherweise an den Vorgang erinnern. Frau Kolb ist seit Oktober 2024 nicht mehr in der Kanzlei beschäftigt; eine aktuelle Anschrift liegt noch nicht vor.</w:t>
      </w:r>
    </w:p>
    <w:p>
      <w:pPr>
        <w:jc w:val="left"/>
      </w:pPr>
      <w:r>
        <w:t>2 Abweichung zur Darstellung der Gegenseite</w:t>
      </w:r>
    </w:p>
    <w:p>
      <w:pPr>
        <w:jc w:val="left"/>
      </w:pPr>
      <w:r>
        <w:t>Ich habe Dr. Rotbruch vorgehalten, dass die Klageschrift ein solches Telefonat nicht erwähnt und Frau Habernau nach dem Vortrag der Gegenseite angibt, zwischen Übersendung der Vertragsprüfung und dem Notartermin keinen inhaltlichen Kontakt mit der Kanzlei gehabt zu haben. Dr. Rotbruch bleibt bei seiner Darstellung, räumt aber ein, dass er das Telefonat zeitlich nicht mehr sicher einordnen kann und es auch am 26. April gewesen sein könnte. Er will die Einzelverbindungsnachweise seines damaligen Telefonanbieters anfordern; ob diese für 2022 noch verfügbar sind, ist offen.</w:t>
      </w:r>
    </w:p>
    <w:p>
      <w:pPr>
        <w:jc w:val="left"/>
      </w:pPr>
      <w:r>
        <w:t>3 Vergleichsrahmen und Versicherung</w:t>
      </w:r>
    </w:p>
    <w:p>
      <w:pPr>
        <w:jc w:val="left"/>
      </w:pPr>
      <w:r>
        <w:t>Dr. Rotbruch erklärt, er könne aus eigenen Mitteln höchstens einen Betrag von 60000 Euro darstellen, bei einer Ratenzahlung über zwei Jahre allenfalls 90000 Euro. Die Forderung der Gegenseite von mindestens 130000 Euro hält er ohne Beteiligung des Versicherers nicht für erreichbar. Zum Stand der Deckungsfrage habe ich auf mein Schreiben an die Allianz vom 8. April 2026 verwiesen; eine Antwort steht aus.</w:t>
      </w:r>
    </w:p>
    <w:p>
      <w:pPr>
        <w:jc w:val="left"/>
      </w:pPr>
      <w:r>
        <w:t>4 Weiteres Vorgehen</w:t>
      </w:r>
    </w:p>
    <w:p>
      <w:pPr>
        <w:jc w:val="left"/>
      </w:pPr>
      <w:r>
        <w:t>Die Stellungnahme im Kammerverfahren wird bis zum 17. April 2026 fertiggestellt. Ich kläre den Verbleib von Frau Kolb über das frühere Personalbüro. Dr. Rotbruch übergibt bis 14. April die Zeiterfassungsauszüge für März und April 2022 sowie den Ordner mit der damaligen SMS-Korrespondenz, die er nach eigenen Angaben von seinem alten Diensttelefon gesichert hat.</w:t>
      </w:r>
    </w:p>
    <w:p>
      <w:pPr>
        <w:jc w:val="left"/>
      </w:pPr>
      <w:r>
        <w:t>Bremer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