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Aktenzeichen: CLC-2024-HH-007</w:t>
      </w:r>
    </w:p>
    <w:p>
      <w:pPr>
        <w:jc w:val="left"/>
      </w:pPr>
      <w:r>
        <w:t>Datum: 19. April 2024, 12:20 Uhr bis 12:47 Uhr</w:t>
      </w:r>
    </w:p>
    <w:p>
      <w:pPr>
        <w:jc w:val="left"/>
      </w:pPr>
      <w:r>
        <w:t>Teilnehmer: RA Thomas Brandt; Dr. Anke Förster (Geschäftsführerin der Mandantin)</w:t>
      </w:r>
    </w:p>
    <w:p>
      <w:pPr>
        <w:jc w:val="left"/>
      </w:pPr>
      <w:r>
        <w:t>Anlass: Rückruf der Mandantin nach Übersendung der Rechenübersicht zum Haftungslimit von heute, 11:55 Uhr</w:t>
      </w:r>
    </w:p>
    <w:p>
      <w:pPr>
        <w:pStyle w:val="Heading2"/>
      </w:pPr>
      <w:r>
        <w:rPr>
          <w:rFonts w:ascii="Times New Roman" w:hAnsi="Times New Roman"/>
        </w:rPr>
        <w:t>1 Haftungslimit</w:t>
      </w:r>
    </w:p>
    <w:p>
      <w:pPr>
        <w:jc w:val="left"/>
      </w:pPr>
      <w:r>
        <w:t>Frau Dr. Förster teilt mit, dass der Vorstand in der Sitzung vom 16. April 2024 nur den einfachen Jahresvertragswert als Obergrenze freigegeben hat. Die von der Gegenseite geforderten 125 Prozent sind damit nicht gedeckt. Maßgeblicher Jahreswert ist nach Bestätigung von Herrn Mahlberg aus dem Controlling der Betrag von 3.700.000 EUR. Die an einer Stelle der Fassung 2.3 noch enthaltene Zahl von 4.200.000 EUR beruht nach Angabe der Mandantin auf einer älteren Mengenplanung und ist vor dem Signing durchgängig zu korrigieren.</w:t>
      </w:r>
    </w:p>
    <w:p>
      <w:pPr>
        <w:pStyle w:val="Heading2"/>
      </w:pPr>
      <w:r>
        <w:rPr>
          <w:rFonts w:ascii="Times New Roman" w:hAnsi="Times New Roman"/>
        </w:rPr>
        <w:t>2 Sicherheitszusagen für die Kalibrierungssoftware</w:t>
      </w:r>
    </w:p>
    <w:p>
      <w:pPr>
        <w:jc w:val="left"/>
      </w:pPr>
      <w:r>
        <w:t>Zur streitigen Dauer der Sicherheitsupdates erklärt Frau Dr. Förster, die Mandantin könne intern höchstens 30 Monate nach der letzten Lieferung darstellen; die Entwicklungsabteilung habe für 36 Monate keine Kapazitätszusage gegeben. Sie ist einverstanden, dass dieser Punkt am Montag als letzter Verhandlungspunkt aufgerufen wird.</w:t>
      </w:r>
    </w:p>
    <w:p>
      <w:pPr>
        <w:pStyle w:val="Heading2"/>
      </w:pPr>
      <w:r>
        <w:rPr>
          <w:rFonts w:ascii="Times New Roman" w:hAnsi="Times New Roman"/>
        </w:rPr>
        <w:t>3 Unterlagen für den Termin am 22. April 2024</w:t>
      </w:r>
    </w:p>
    <w:p>
      <w:pPr>
        <w:jc w:val="left"/>
      </w:pPr>
      <w:r>
        <w:t>Die unterschriebene Originalvollmacht liegt bei Frau Reimers. Ein aktueller Handelsregisterauszug wird heute elektronisch abgerufen; der Auszug vom Oktober 2023 wird zusätzlich mitgeführt. Frau Dr. Förster bittet um ein Vorab-Telefonat am Montag um 08:45 Uhr deutscher Zeit.</w:t>
      </w:r>
    </w:p>
    <w:p>
      <w:pPr>
        <w:pStyle w:val="Heading2"/>
      </w:pPr>
      <w:r>
        <w:rPr>
          <w:rFonts w:ascii="Times New Roman" w:hAnsi="Times New Roman"/>
        </w:rPr>
        <w:t>4 Offen</w:t>
      </w:r>
    </w:p>
    <w:p>
      <w:pPr>
        <w:jc w:val="left"/>
      </w:pPr>
      <w:r>
        <w:t>Rückmeldung von Amanda Clarke zur Form der Parent Guarantee steht aus; Wiedervorlage Montag früh. Frage der Mandantin zur Behandlung der Messemuster in der Liefermenge 2025 noch nicht beantwortet, klären mit</w:t>
      </w:r>
    </w:p>
    <w:p>
      <w:pPr>
        <w:jc w:val="left"/>
      </w:pPr>
      <w:r>
        <w:t>Brandt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