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am Alten Markt, Potsdam. Unser Zeichen AM-26/441. Vermerk: Rechtsanwältin Nele Eßwein, Diktat 30.06.2026, 17:40 Uhr, geschrieben von Paula Kern am 01.07.2026.</w:t>
      </w:r>
    </w:p>
    <w:p>
      <w:pPr>
        <w:pStyle w:val="Heading2"/>
      </w:pPr>
      <w:r>
        <w:rPr>
          <w:rFonts w:ascii="Times New Roman" w:hAnsi="Times New Roman"/>
        </w:rPr>
        <w:t>1 Gegenstand</w:t>
      </w:r>
    </w:p>
    <w:p>
      <w:pPr>
        <w:jc w:val="left"/>
      </w:pPr>
      <w:r>
        <w:t>Videokonferenz am 30.06.2026, 14:00 bis 15:25 Uhr, zur angekündigten gemeinsamen technischen Bestandsaufnahme. Teilnehmer auf Gegenseite: Dr. Lars Maaß (QuadratLotse GmbH) sowie ein Herr Wiechert aus deren IT, Nachname am Bildschirm nur teilweise lesbar, vermutlich externer Dienstleister. Auf unserer Seite: Unterzeichnerin, Frau Mäßler (HavelImmo, IT-Sicherheit) ab 14:20 Uhr zugeschaltet.</w:t>
      </w:r>
    </w:p>
    <w:p>
      <w:pPr>
        <w:pStyle w:val="Heading2"/>
      </w:pPr>
      <w:r>
        <w:rPr>
          <w:rFonts w:ascii="Times New Roman" w:hAnsi="Times New Roman"/>
        </w:rPr>
        <w:t>2 Verlauf</w:t>
      </w:r>
    </w:p>
    <w:p>
      <w:pPr>
        <w:jc w:val="left"/>
      </w:pPr>
      <w:r>
        <w:t>Dr. Maaß wiederholte im Wesentlichen den Inhalt seiner E-Mail vom 26.06.2026. Auf Nachfrage räumte er ein, dass das "externe Preisbeobachtungsprojekt" über einen Dienstleister in Tallinn lief; den Namen wollte er erst nach interner Freigabe nennen. Herr Wiechert erklärte, die Container-Images seien seit dem 25.06. eingefroren, die Löschroutine für Gateway-Protokolle sei aber erst am 27.06. ausgesetzt worden, nicht wie angekündigt sofort. Für den Zeitraum davor könne er "keine Vollständigkeit garantieren".</w:t>
      </w:r>
    </w:p>
    <w:p>
      <w:pPr>
        <w:jc w:val="left"/>
      </w:pPr>
      <w:r>
        <w:t>Zum Import vom 4. März sagte Dr. Maaß, die Datei mit 7128 Zeilen sei von Herrn Rüß persönlich auf einen Projektordner gelegt worden; ein Importprotokoll existiere, werde aber noch auf personenbezogene Inhalte durchgesehen. Frau Mäßler fragte nach den Feldnamen der importierten Datei. Herr Wiechert las sieben Spaltenköpfe vor, Mitschrift dazu gesondert abgelegt (siehe Abgleichstabelle in der Akte).</w:t>
      </w:r>
    </w:p>
    <w:p>
      <w:pPr>
        <w:pStyle w:val="Heading2"/>
      </w:pPr>
      <w:r>
        <w:rPr>
          <w:rFonts w:ascii="Times New Roman" w:hAnsi="Times New Roman"/>
        </w:rPr>
        <w:t>3 Ergebnis und offene Punkte</w:t>
      </w:r>
    </w:p>
    <w:p>
      <w:pPr>
        <w:jc w:val="left"/>
      </w:pPr>
      <w:r>
        <w:t>Verabredet wurde die Spiegelung des USB-Sticks von Herrn Rüß durch die Datenrettung Wollank GmbH, Berlin, in der Woche ab dem 6. Juli; Kostenteilung noch offen. QuadratLotse sagte die Übergabe des Importprotokolls bis zum 8. Juli zu. Keine Einigung über den Umgang mit dem Dienstleister in Tallinn. Dr. Maaß bat darum, die Investorenseite von HavelImmo "aus der Technik herauszuhalten"; Frau Mäßler widersprach, da der Datenraum bereits einen Hinweis auf den Vorfall enthält.</w:t>
      </w:r>
    </w:p>
    <w:p>
      <w:pPr>
        <w:jc w:val="left"/>
      </w:pPr>
      <w:r>
        <w:t>Wiedervorlage: 08.07.2026.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