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Hagenroth, Quasthoff-Prügelmann &amp; Kollegen, Pfaffengasse 4, 91054 Erlangen. Mandat 2026/0418, Baustube Meißnerlein GmbH. Vermerk vom 27.05.2026, gefertigt von RA'in Friedlinde Quasthoff-Prügelmann.</w:t>
      </w:r>
    </w:p>
    <w:p>
      <w:pPr>
        <w:jc w:val="left"/>
      </w:pPr>
      <w:r>
        <w:t>Heute um 16:05 Uhr Telefonat mit Frau Dr. Adelgunde Vogelbroich, Universität Erlangen-Nürnberg, Lehrstuhl für Digitalsoziologie und Plattformforschung, auf ihre Bitte. Dauer rund zwanzig Minuten. Frau Dr. Vogelbroich berichtete zum Stand ihres Datenzugangsantrags nach Art. 40 DSA, Kennzeichen des irischen DSC ART40-IE-2026-00417.</w:t>
      </w:r>
    </w:p>
    <w:p>
      <w:pPr>
        <w:jc w:val="left"/>
      </w:pPr>
      <w:r>
        <w:t>Der irische DSC habe mit Schreiben vom 19.05.2026 Nachfragen zum vorgesehenen Datenraum gestellt, insbesondere zur Zertifizierung des FAU-CompCenter und zur Frage, wer außer ihr selbst Zugriff auf die pseudonymisierten Rohdaten erhalten soll. Sie werde die Nachfragen bis Mitte Juni beantworten. Glitzerwald habe über seine irischen Anwälte eine Verlängerung der eigenen Stellungnahmefrist beantragt; über den Antrag sei nach ihrer Kenntnis noch nicht entschieden. Mit einer Entscheidung über den Datenzugang rechne sie frühestens im Herbst 2026.</w:t>
      </w:r>
    </w:p>
    <w:p>
      <w:pPr>
        <w:jc w:val="left"/>
      </w:pPr>
      <w:r>
        <w:t>Frau Dr. Vogelbroich fragte an, ob die Mandantin als Co-Antragstellerin und Praxiszeugin in der überarbeiteten Antragsfassung weiterhin namentlich genannt werden darf oder ob die Nennung auf eine anonymisierte Fallbeschreibung umgestellt werden soll. Hintergrund sei, dass der DSC die Antragsunterlagen an Glitzerwald weiterleitet und eine dortige Rechtsabteilung die Beteiligten dann kennt. Zwei weitere Unternehmerinnen aus ihrem Sample hätten um Anonymisierung gebeten.</w:t>
      </w:r>
    </w:p>
    <w:p>
      <w:pPr>
        <w:jc w:val="left"/>
      </w:pPr>
      <w:r>
        <w:t>Ich habe erklärt, dass die Entscheidung bei Frau Meißnerlein-Hochkönig liegt und wir uns bis zum 05.06.2026 melden. Frau Dr. Vogelbroich bat außerdem um die Umsatz- und Reichweitenauswertung der Mandantin für ihr Interview-Modul; ich habe zugesagt, die Freigabe mit der Mandantin zu klären, und darauf hingewiesen, dass eine Weitergabe nur nach schriftlicher Einwilligung erfolgt.</w:t>
      </w:r>
    </w:p>
    <w:p>
      <w:pPr>
        <w:jc w:val="left"/>
      </w:pPr>
      <w:r>
        <w:t>Wiedervorlage: 03.06.2026, Rücksprache mit der Mandantin zu Namensnennung und Datenfreigabe.</w:t>
      </w:r>
    </w:p>
    <w:p>
      <w:pPr>
        <w:jc w:val="left"/>
      </w:pPr>
      <w:r>
        <w:t>Quasthoff-Prügelmann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