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 Sonnenufer Kinderhaus gGmbH</w:t>
      </w:r>
    </w:p>
    <w:p>
      <w:pPr>
        <w:jc w:val="left"/>
      </w:pPr>
      <w:r>
        <w:t>Geschäftsstelle, Uferweg 18, 14558 Lindenwerder</w:t>
      </w:r>
    </w:p>
    <w:p>
      <w:pPr>
        <w:jc w:val="left"/>
      </w:pPr>
      <w:r>
        <w:t>Vermerk vom 6. Juli 2026, gefertigt von Annegret Mäßler, Geschäftsführerin. Telefonat mit Frau Groß, Gemeindekasse Lindenwerder, 09:05 bis 09:38 Uhr, Zeichen der Kasse GK 26-1884.</w:t>
      </w:r>
    </w:p>
    <w:p>
      <w:pPr>
        <w:jc w:val="left"/>
      </w:pPr>
      <w:r>
        <w:t>1 Anlass</w:t>
      </w:r>
    </w:p>
    <w:p>
      <w:pPr>
        <w:jc w:val="left"/>
      </w:pPr>
      <w:r>
        <w:t>Anlass war das Schreiben der Gemeindekasse vom 3. Juli 2026 zum Buchungsstand des Erbbauzinskontos für das Grundstück Uferweg 18, Vertragsnummer 77, sowie die Bitte der Kasse, den Verwendungszweck der Sammelzahlung vom 14. Januar 2026 zu klären.</w:t>
      </w:r>
    </w:p>
    <w:p>
      <w:pPr>
        <w:jc w:val="left"/>
      </w:pPr>
      <w:r>
        <w:t>2 Inhalt des Gesprächs</w:t>
      </w:r>
    </w:p>
    <w:p>
      <w:pPr>
        <w:jc w:val="left"/>
      </w:pPr>
      <w:r>
        <w:t>Zur Januarzahlung habe ich Frau Groß bestätigt, dass die 18400 Euro in voller Höhe für den Erbbauzins bestimmt waren, also für die Raten Oktober 2025 und Januar 2026 zu je 9200 Euro. Ein Teilbetrag für eine andere Forderung war nicht enthalten. Die Buchung der Kasse ist demnach richtig; ein zusätzlicher Zahlungsbeleg ist nicht erforderlich. Frau Groß nimmt einen entsprechenden Vermerk in das Kassenkonto auf.</w:t>
      </w:r>
    </w:p>
    <w:p>
      <w:pPr>
        <w:jc w:val="left"/>
      </w:pPr>
      <w:r>
        <w:t>Zur angekündigten Überweisung vom 24. Juni habe ich erläutert, dass unsere Hausbank den Auftrag nicht ausgeführt hat, weil die hinterlegte Kontovollmacht unserer früheren Verwaltungsleiterin abgelaufen war und der Auftrag deshalb in der Freigabe hängen blieb. Wir haben davon erst am 2. Juli erfahren. Ich habe zugesagt, den offenen Betrag aus der Aprilrate von 4308 Euro zuzüglich 48 Euro Mahnkosten bis zum 10. Juli erneut anzuweisen, diesmal mit Einzelfreigabe durch mich persönlich.</w:t>
      </w:r>
    </w:p>
    <w:p>
      <w:pPr>
        <w:jc w:val="left"/>
      </w:pPr>
      <w:r>
        <w:t>Zur Julirate über 9308 Euro habe ich angekündigt, dass die Zahlung voraussichtlich erst nach Eingang der Landeszuschüsse am 20. Juli erfolgen kann. Frau Groß hat das aufgenommen, aber darauf hingewiesen, dass die Kasse Fälligkeiten nicht stunden kann und eine Entscheidung darüber bei der Liegenschaftsverwaltung und der Kämmerei liegt. Sie nannte als dortigen Ansprechpartner Herrn Bredow.</w:t>
      </w:r>
    </w:p>
    <w:p>
      <w:pPr>
        <w:jc w:val="left"/>
      </w:pPr>
      <w:r>
        <w:t>3 Ergebnis und offene Punkte</w:t>
      </w:r>
    </w:p>
    <w:p>
      <w:pPr>
        <w:jc w:val="left"/>
      </w:pPr>
      <w:r>
        <w:t>Ich übersende der Kasse bis 10. Juli den Zahlungsbeleg über 4356 Euro. Für die Julirate kläre ich mit Herrn Bredow, ob eine Zahlung zum 25. Juli ohne weitere Mahnung möglich ist. Die Bank (Frau Kießling) erhält den aktuellen Kontoauszug mit dieser Notiz.</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Telefonvermerk Sonnenufer Kinderhaus gGmbH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4"/>
      </w:rPr>
      <w:t>Telefonvermerk Sonnenufer Kinderhaus gGmbH</w:t>
    </w:r>
  </w:p>
  <w:p>
    <w:pPr>
      <w:jc w:val="left"/>
      <w:pBdr>
        <w:bottom w:val="single" w:sz="6" w:space="2" w:color="11555F"/>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