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Mahnung der Gemeindekasse</w:t>
      </w:r>
    </w:p>
    <w:p>
      <w:pPr>
        <w:jc w:val="left"/>
      </w:pPr>
      <w:r>
        <w:t>Gemeinde Lindenwerder, Gemeindekasse, Rathausstraße 2, 14558 Lindenwerder</w:t>
      </w:r>
    </w:p>
    <w:p>
      <w:pPr>
        <w:jc w:val="left"/>
      </w:pPr>
      <w:r>
        <w:t>Sonnenufer Kinderhaus gGmbH, Uferweg 18, 14558 Lindenwerder</w:t>
      </w:r>
    </w:p>
    <w:p>
      <w:pPr>
        <w:jc w:val="left"/>
      </w:pPr>
      <w:r>
        <w:t>Lindenwerder, 16. Juli 2026</w:t>
      </w:r>
    </w:p>
    <w:p>
      <w:pPr>
        <w:jc w:val="left"/>
      </w:pPr>
      <w:r>
        <w:t>Unser Zeichen: GK 26-1884 Kita Sonnenufer, Mahnlauf 07/26</w:t>
      </w:r>
    </w:p>
    <w:p>
      <w:pPr>
        <w:jc w:val="left"/>
      </w:pPr>
      <w:r>
        <w:t>Betreff: Zweite Mahnung, Erbbauzins für das Grundstück Uferweg 18, Vertragsnummer 77</w:t>
      </w:r>
    </w:p>
    <w:p>
      <w:pPr>
        <w:jc w:val="left"/>
      </w:pPr>
      <w:r>
        <w:t>Sehr geehrte Frau Mäßler,</w:t>
      </w:r>
    </w:p>
    <w:p>
      <w:pPr>
        <w:jc w:val="left"/>
      </w:pPr>
      <w:r>
        <w:t>auf dem Erbbauzinskonto zu Vertragsnummer 77 bestehen nach dem Tagesabschluss vom 15. Juli 2026 folgende offene Posten. Aus der Rate zum 1. April 2026 sind noch 4308 Euro offen; die am 6. Juli fernmündlich für den 10. Juli angekündigte Überweisung ist bislang nicht eingegangen. Die Rate zum 1. Juli 2026 über 9308 Euro ist vollständig offen. Hinzu kommen Mahnkosten aus dem Mahnlauf Juni über 48 Euro sowie Mahnkosten dieses Mahnlaufs über 48 Euro. Der Gesamtbetrag beläuft sich auf 13712 Euro.</w:t>
      </w:r>
    </w:p>
    <w:p>
      <w:pPr>
        <w:jc w:val="left"/>
      </w:pPr>
      <w:r>
        <w:t>Wir fordern Sie auf, den Gesamtbetrag bis zum 30. Juli 2026 auf das bekannte Konto der Gemeindekasse bei der Mittelbrandenburgischen Sparkasse zu zahlen. Bitte geben Sie im Verwendungszweck das Zeichen GK 26-1884 und die Vertragsnummer 77 an und teilen Sie bei Teilzahlungen ausdrücklich mit, auf welche Position gebucht werden soll.</w:t>
      </w:r>
    </w:p>
    <w:p>
      <w:pPr>
        <w:jc w:val="left"/>
      </w:pPr>
      <w:r>
        <w:t>Ihre Ankündigung, die Julirate erst nach Eingang der Landeszuschüsse am 20. Juli anzuweisen, hat die Kasse zur Kenntnis genommen. Über Stundung oder Ratenzahlung entscheidet nicht die Kasse; ein etwaiger Antrag ist an die Kämmerei, Herrn Bredow, zu richten und wäre vor Ablauf der oben genannten Frist zu stellen. Geht bis zum 30. Juli 2026 weder der Gesamtbetrag noch eine Entscheidung der Kämmerei ein, gibt die Kasse den Vorgang an die Liegenschaftsverwaltung ab; diese führt dort auch den Vorgang zu Ihrer angefragten Zustimmung zu den Baumaßnahmen.</w:t>
      </w:r>
    </w:p>
    <w:p>
      <w:pPr>
        <w:jc w:val="left"/>
      </w:pPr>
      <w:r>
        <w:t>Sollte sich diese Mahnung mit einer Zahlung überschnitten haben, betrachten Sie sie bitte insoweit als gegenstandslos und übersenden Sie uns den Zahlungsbeleg.</w:t>
      </w:r>
    </w:p>
    <w:p>
      <w:pPr>
        <w:jc w:val="left"/>
      </w:pPr>
      <w:r>
        <w:t>Mit freundlichen Grüßen</w:t>
      </w:r>
    </w:p>
    <w:p>
      <w:pPr>
        <w:jc w:val="left"/>
      </w:pPr>
      <w:r>
        <w:t>Katrin Strauß</w:t>
      </w:r>
    </w:p>
    <w:p>
      <w:pPr>
        <w:jc w:val="left"/>
      </w:pPr>
      <w:r>
        <w:t>Kassenleiterin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Mahnung der Gemeindekasse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Mahnung der Gemeindekasse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