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Stadt Lindenhafen, Wirtschaftsförderung, AZ: WF-2023-0047/EUR</w:t>
      </w:r>
    </w:p>
    <w:p>
      <w:pPr>
        <w:jc w:val="left"/>
      </w:pPr>
      <w:r>
        <w:t>Datum: 6. Dezember 2023, 11:20 bis 11:55 Uhr</w:t>
      </w:r>
    </w:p>
    <w:p>
      <w:pPr>
        <w:jc w:val="left"/>
      </w:pPr>
      <w:r>
        <w:t>Gesprächsteilnehmer: Frau Dr. Rennekamp (Wirtschaftsförderung, Vermerkverfasserin), Herr Glöckner (Rechtsamt, zeitweise zugeschaltet), Frau Dr. Sabine Ohlendorf (Niedersächsisches Ministerium für Wirtschaft, Referat 25 – Beihilfen, Telefon 0511 / 120-5544)</w:t>
      </w:r>
    </w:p>
    <w:p>
      <w:pPr>
        <w:jc w:val="left"/>
      </w:pPr>
      <w:r>
        <w:t>1 Anlass</w:t>
      </w:r>
    </w:p>
    <w:p>
      <w:pPr>
        <w:jc w:val="left"/>
      </w:pPr>
      <w:r>
        <w:t>Frau Dr. Ohlendorf rief an wegen der Auskunftsanordnung der Europäischen Kommission vom 28. November 2023 (Ref.: SA.2023/0847). Das Bundeswirtschaftsministerium habe das Auskunftsersuchen am 1. Dezember 2023 an das Land weitergeleitet. Die Frist von 20 Arbeitstagen laufe nach Berechnung des Ministeriums am 29. Dezember 2023 ab. Das Referat 25 benötige die vollständigen Unterlagen der Stadt spätestens bis zum 18. Dezember 2023, um die Antwort über das Bund-Länder-Verfahren fristgerecht nach Brüssel zu geben.</w:t>
      </w:r>
    </w:p>
    <w:p>
      <w:pPr>
        <w:jc w:val="left"/>
      </w:pPr>
      <w:r>
        <w:t>2 Angeforderte Unterlagen</w:t>
      </w:r>
    </w:p>
    <w:p>
      <w:pPr>
        <w:jc w:val="left"/>
      </w:pPr>
      <w:r>
        <w:t>Frau Dr. Ohlendorf benannte im Einzelnen: den Förderbescheid vom 5. September 2023 nebst allen Nebenbestimmungen, den Stadtratsbeschluss vom 14. März 2023 mit Sitzungsvorlage, die Wirtschaftlichkeitsberechnung der Kämmerei, sämtliche interne Vermerke zur beihilferechtlichen Einordnung, den Schriftwechsel mit der KWL zur Berechnung der Mehrkosten sowie Angaben dazu, ob und in welcher Höhe bereits Mittel ausgezahlt wurden. Sie fragte ausdrücklich, ob ein Betrauungsakt für die KWL existiert. Ich habe zugesagt, das zu prüfen und schriftlich zu beantworten.</w:t>
      </w:r>
    </w:p>
    <w:p>
      <w:pPr>
        <w:jc w:val="left"/>
      </w:pPr>
      <w:r>
        <w:t>3 Weitere Gesprächsinhalte</w:t>
      </w:r>
    </w:p>
    <w:p>
      <w:pPr>
        <w:jc w:val="left"/>
      </w:pPr>
      <w:r>
        <w:t>Frau Dr. Ohlendorf wies darauf hin, dass das Ministerium von dem Vorgang erstmals durch das Auskunftsersuchen erfahren habe und eine Anmeldung über die zentrale Beihilfestelle des Landes nicht erfolgt sei. Herr Glöckner erläuterte den Verfahrensstand beim Verwaltungsgericht Lüneburg (Az.: 3 A 228/23) einschließlich der angeordneten aufschiebenden Wirkung vom 18. Oktober 2023. Frau Dr. Ohlendorf bat darum, den Beschluss des Gerichts der Unterlagensammlung beizufügen, und kündigte an, dass das Ministerium gegebenenfalls eine eigene Stellungnahme der Stadt zur Frage der bereits geflossenen erste Tranche anfordern werde.</w:t>
      </w:r>
    </w:p>
    <w:p>
      <w:pPr>
        <w:jc w:val="left"/>
      </w:pPr>
      <w:r>
        <w:t>4 Veranlassung</w:t>
      </w:r>
    </w:p>
    <w:p>
      <w:pPr>
        <w:jc w:val="left"/>
      </w:pPr>
      <w:r>
        <w:t>Zusammenstellung der Unterlagen durch Wirtschaftsförderung und Rechtsamt bis 14. Dezember 2023. Wiedervorlage bei mir am 12. Dezember 2023. Herr Wittkopp (Kämmerei) wird um eine Aufstellung der Auszahlungen und Mittelbindungen gebeten.</w:t>
      </w:r>
    </w:p>
    <w:p>
      <w:pPr>
        <w:jc w:val="left"/>
      </w:pPr>
      <w:r>
        <w:t>gez. Dr. Rennekamp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