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 Rechtsschutzversicherung</w:t>
      </w:r>
    </w:p>
    <w:p>
      <w:pPr>
        <w:jc w:val="left"/>
      </w:pPr>
      <w:r>
        <w:t>Vermerk vom 03.06.2026, 11:20 Uhr. Telefonat mit der HUK-Coburg Rechtsschutz, Service-Center, Frau Kabelitz. Dauer etwa zwölf Minuten, Rückruf auf unsere Deckungsanfrage vom 26.05.2026.</w:t>
      </w:r>
    </w:p>
    <w:p>
      <w:pPr>
        <w:pStyle w:val="Heading2"/>
      </w:pPr>
      <w:r>
        <w:rPr>
          <w:rFonts w:ascii="Times New Roman" w:hAnsi="Times New Roman"/>
        </w:rPr>
        <w:t>1 Vorgangsdaten</w:t>
      </w:r>
    </w:p>
    <w:p>
      <w:pPr>
        <w:jc w:val="left"/>
      </w:pPr>
      <w:r>
        <w:t>Frau Kabelitz teilte mit, dass der Vorgang unter der Schadennummer RS-2026-4418803-B geführt wird. Versicherungsnehmer ist Herr Dr. Sebastian Bräutigam; der Vertrag umfasst nach ihrer Auskunft Privat-Rechtsschutz einschließlich Vertrags-Rechtsschutz, mitversichert sind die Ehefrau und die im Haushalt lebenden Kinder. Die Selbstbeteiligung beträgt 150,00 Euro je Rechtsschutzfall. Die in unserer Anfrage genannte Versicherungsscheinnummer war nach Angabe von Frau Kabelitz unvollständig; es fehlte eine Endziffer. Herr Bräutigam möge die vollständige Nummer vom aktuellen Beitragsbescheid durchgeben, sie liege dem Haus aber ohnehin systemseitig vor, die Zuordnung sei bereits erfolgt.</w:t>
      </w:r>
    </w:p>
    <w:p>
      <w:pPr>
        <w:pStyle w:val="Heading2"/>
      </w:pPr>
      <w:r>
        <w:rPr>
          <w:rFonts w:ascii="Times New Roman" w:hAnsi="Times New Roman"/>
        </w:rPr>
        <w:t>2 Stand der Prüfung</w:t>
      </w:r>
    </w:p>
    <w:p>
      <w:pPr>
        <w:jc w:val="left"/>
      </w:pPr>
      <w:r>
        <w:t>Für die außergerichtliche Geltendmachung gegenüber Pacific Sky Airways stellte Frau Kabelitz die Deckungszusage "für die kommende Woche" in Aussicht; die schriftliche Bestätigung gehe an die Kanzlei und in Kopie an den Versicherungsnehmer. Für ein etwaiges gerichtliches Verfahren sei eine gesonderte Anfrage mit Angabe des Gerichtsstands erforderlich. Zum angefragten Gegenstandswert notierte Frau Kabelitz 3.587,64 Euro; sie bat um kurze Mitteilung, falls der Verdienstausfall der Ehefrau die Forderung noch erhöht.</w:t>
      </w:r>
    </w:p>
    <w:p>
      <w:pPr>
        <w:pStyle w:val="Heading2"/>
      </w:pPr>
      <w:r>
        <w:rPr>
          <w:rFonts w:ascii="Times New Roman" w:hAnsi="Times New Roman"/>
        </w:rPr>
        <w:t>3 Offene Punkte</w:t>
      </w:r>
    </w:p>
    <w:p>
      <w:pPr>
        <w:jc w:val="left"/>
      </w:pPr>
      <w:r>
        <w:t>Nachzureichen sind die vollständige Versicherungsscheinnummer sowie die bezifferte Aufstellung zum Verdienstausfall vom 14.04.2026, sobald die Unterlagen der Kinderklinik vollständig vorliegen. Wiedervorlage: 10.06.2026. Der Mandant wurde noch nicht unterrichtet.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