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Rechnung</w:t>
      </w:r>
    </w:p>
    <w:p>
      <w:pPr>
        <w:jc w:val="left"/>
      </w:pPr>
      <w:r>
        <w:t>Lichtblau Übersetzungen GmbH, Kaiserstraße 47, 60329 Frankfurt am Main</w:t>
      </w:r>
    </w:p>
    <w:p>
      <w:pPr>
        <w:jc w:val="left"/>
      </w:pPr>
      <w:r>
        <w:t>Amtsgericht Frankfurt am Main HRB 88214, USt-IdNr. DE 214 887 951, Geschäftsführerin: Ilona Lichtblau</w:t>
      </w:r>
    </w:p>
    <w:p>
      <w:pPr>
        <w:jc w:val="left"/>
      </w:pPr>
      <w:r>
        <w:t>An: Alvensleben Kayser Becker Rechtsanwälte PartmbB, z. Hd. Frau Gesa Petrich, Bockenheimer Landstraße 92, 60323 Frankfurt am Main</w:t>
      </w:r>
    </w:p>
    <w:p>
      <w:pPr>
        <w:jc w:val="left"/>
      </w:pPr>
      <w:r>
        <w:t>Rechnungsnummer: 2026-0612, Rechnungsdatum: 18.06.2026, Kundennummer: 4471, Ihr Zeichen: Waldkrone / Petrich</w:t>
      </w:r>
    </w:p>
    <w:p>
      <w:pPr>
        <w:pStyle w:val="Heading2"/>
      </w:pPr>
      <w:r>
        <w:rPr>
          <w:rFonts w:ascii="Times New Roman" w:hAnsi="Times New Roman"/>
        </w:rPr>
        <w:t>1 Leistungsbeschreibung</w:t>
      </w:r>
    </w:p>
    <w:p>
      <w:pPr>
        <w:jc w:val="left"/>
      </w:pPr>
      <w:r>
        <w:t>Beglaubigte Übersetzung Englisch–Deutsch aus dem Share Purchase Agreement betreffend die Waldkrone Logistik GmbH, angefertigt durch die allgemein ermächtigte Übersetzerin Dr. Verena Kastrup für die englische Sprache. Übersetzt wurden nach Ihrer Beauftragung vom 26.05.2026 die Abschnitte Definitions (auszugsweise), Section 12 (Tax Indemnity), Section 14 (Escrow), Section 16 (Cooperation, Fassung des Amendment No. 1) sowie Schedule 8. Die Lieferung erfolgte am 16.06.2026 vorab elektronisch und am 17.06.2026 in drei beglaubigten Papierausfertigungen per Boten an Ihre Kanzlei.</w:t>
      </w:r>
    </w:p>
    <w:p>
      <w:pPr>
        <w:pStyle w:val="Heading2"/>
      </w:pPr>
      <w:r>
        <w:rPr>
          <w:rFonts w:ascii="Times New Roman" w:hAnsi="Times New Roman"/>
        </w:rPr>
        <w:t>2 Abrechnung</w:t>
      </w:r>
    </w:p>
    <w:p>
      <w:pPr>
        <w:jc w:val="left"/>
      </w:pPr>
      <w:r>
        <w:t>Die Abrechnung erfolgt nach Normzeilen zu 55 Anschlägen. Übersetzt wurden 862 Normzeilen zu je 1,95 EUR, insgesamt 1.680,90 EUR. Hinzu kommen die Beglaubigungsgebühr für drei Ausfertigungen mit je 15,00 EUR, zusammen 45,00 EUR, der vereinbarte Eilzuschlag von 15 Prozent auf das Zeilenhonorar in Höhe von 252,14 EUR sowie Botenkosten von 18,50 EUR. Zwischensumme netto: 1.996,54 EUR. Umsatzsteuer 19 Prozent: 379,34 EUR. Rechnungsbetrag brutto: 2.375,88 EUR.</w:t>
      </w:r>
    </w:p>
    <w:p>
      <w:pPr>
        <w:pStyle w:val="Heading2"/>
      </w:pPr>
      <w:r>
        <w:rPr>
          <w:rFonts w:ascii="Times New Roman" w:hAnsi="Times New Roman"/>
        </w:rPr>
        <w:t>3 Zahlung</w:t>
      </w:r>
    </w:p>
    <w:p>
      <w:pPr>
        <w:jc w:val="left"/>
      </w:pPr>
      <w:r>
        <w:t>Zahlbar ohne Abzug bis zum 02.07.2026 auf das Konto bei der Frankfurter Sparkasse, IBAN DE44 5005 0201 0044 7719 03, Verwendungszweck 2026-0612. Es gelten unsere Ihnen vorliegenden Auftragsbedingungen. Beanstandungen bitten wir innerhalb von zwei Wochen mitzuteilen; die Terminologieliste zu den Begriffen Escrow, Indemnity und Locked Box haben wir wie besprochen als gesonderte Datei beigefügt und nicht berechnet.</w:t>
      </w:r>
    </w:p>
    <w:p>
      <w:pPr>
        <w:jc w:val="left"/>
      </w:pPr>
      <w:r>
        <w:t>Mit freundlichen Grüßen</w:t>
      </w:r>
    </w:p>
    <w:p>
      <w:pPr>
        <w:jc w:val="left"/>
      </w:pPr>
      <w:r>
        <w:t>Ilona Lichtblau</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Lichtblau Übersetzungen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Lichtblau Übersetzungen GmbH</w:t>
    </w:r>
  </w:p>
  <w:p>
    <w:pPr>
      <w:jc w:val="left"/>
      <w:pBdr>
        <w:bottom w:val="single" w:sz="6" w:space="2" w:color="3B3F45"/>
      </w:pBdr>
    </w:pPr>
    <w:r>
      <w:rPr>
        <w:rFonts w:ascii="Times New Roman" w:hAnsi="Times New Roman"/>
        <w:color w:val="6B6B66"/>
        <w:sz w:val="16"/>
      </w:rPr>
      <w:t>Kaiserstraße 47, 60329 Frankfurt am Main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