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Bundesministerium für Arbeit und Soziales, Haushaltsreferat Z H 2</w:t>
      </w:r>
    </w:p>
    <w:p>
      <w:pPr>
        <w:jc w:val="left"/>
      </w:pPr>
      <w:r>
        <w:t>Zur Akte Z H 2 - 4418/2026</w:t>
      </w:r>
    </w:p>
    <w:p>
      <w:pPr>
        <w:jc w:val="left"/>
      </w:pPr>
      <w:r>
        <w:t>Berlin, 6. Juli 2026, 11:05 Uhr</w:t>
      </w:r>
    </w:p>
    <w:p>
      <w:pPr>
        <w:pStyle w:val="Heading2"/>
      </w:pPr>
      <w:r>
        <w:rPr>
          <w:rFonts w:ascii="Times New Roman" w:hAnsi="Times New Roman"/>
        </w:rPr>
        <w:t>1 Gesprächsdaten</w:t>
      </w:r>
    </w:p>
    <w:p>
      <w:pPr>
        <w:jc w:val="left"/>
      </w:pPr>
      <w:r>
        <w:t>Anruf von Herrn Eßwein, Ministerium für Soziales des Landes Küstenmark, Referat Haushalt und Abrechnung, um 10:41 Uhr. Gesprächsdauer etwa zwölf Minuten. Gesprächspartnerin auf unserer Seite: Unterzeichnerin. Frau Groß war zeitweise zugeschaltet, musste das Gespräch aber gegen 10:50 Uhr verlassen.</w:t>
      </w:r>
    </w:p>
    <w:p>
      <w:pPr>
        <w:pStyle w:val="Heading2"/>
      </w:pPr>
      <w:r>
        <w:rPr>
          <w:rFonts w:ascii="Times New Roman" w:hAnsi="Times New Roman"/>
        </w:rPr>
        <w:t>2 Inhalt</w:t>
      </w:r>
    </w:p>
    <w:p>
      <w:pPr>
        <w:jc w:val="left"/>
      </w:pPr>
      <w:r>
        <w:t>Herr Eßwein teilte mit, dass die für heute 10 Uhr zugesagte korrigierte XML-Datei noch nicht übermittelt werden kann. Beim Testlauf am Wochenende seien in der Differenzliste 61 Fälle aufgefallen, die doppelt enthalten sind. Die Fachabteilung des Landes prüfe derzeit, ob diese Fälle dem Mai- oder dem Juniabruf zuzuordnen sind. Er rechne mit der Übermittlung bis Mittwoch, den 8. Juli, spätestens 12 Uhr. Auf Nachfrage bestätigte er, dass der Zahlungsbetrag von 97200000,00 Euro unverändert bleibt, bis die Neuberechnung des Landes vorliegt. Eine erste überschlägige Schätzung der Fachabteilung liege zwischen 93 und 96 Millionen Euro, sei aber nach seinen Worten noch nicht belastbar und solle nicht weitergegeben werden.</w:t>
      </w:r>
    </w:p>
    <w:p>
      <w:pPr>
        <w:jc w:val="left"/>
      </w:pPr>
      <w:r>
        <w:t>Ich habe darauf hingewiesen, dass der Bundesrechnungshof die unveränderten Eingangsdaten bis zum 13. Juli angefordert hat und dass die Sperrbuchung SP-1101-26 bis zur Klärung bestehen bleibt. Herr Eßwein bat darum, die Verzögerung gegenüber dem Bundesministerium der Finanzen mit dem Update vom 18. Juni zu begründen, nicht mit einem Fehler seiner Fachabteilung. Ich habe zugesagt, den Sachstand neutral weiterzugeben.</w:t>
      </w:r>
    </w:p>
    <w:p>
      <w:pPr>
        <w:pStyle w:val="Heading2"/>
      </w:pPr>
      <w:r>
        <w:rPr>
          <w:rFonts w:ascii="Times New Roman" w:hAnsi="Times New Roman"/>
        </w:rPr>
        <w:t>3 Weiteres Vorgehen</w:t>
      </w:r>
    </w:p>
    <w:p>
      <w:pPr>
        <w:jc w:val="left"/>
      </w:pPr>
      <w:r>
        <w:t>Wiedervorlage am 8. Juli, 12 Uhr. Falls die Datei bis dahin nicht eingeht, telefonische Rückfrage bei Herrn Eßwein; Durchwahl liegt im Adressverzeichnis der Austauschplattform. Frau Groß erhält eine Kopie dieses Vermerks.</w:t>
      </w:r>
    </w:p>
    <w:p>
      <w:pPr>
        <w:jc w:val="left"/>
      </w:pPr>
      <w:r>
        <w:t>Mäßler, Regierungsdirektorin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Bundesministerium für Arbeit und Soziales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Bundesministerium für Arbeit und Soziales</w:t>
    </w:r>
  </w:p>
  <w:p>
    <w:pPr>
      <w:jc w:val="left"/>
      <w:pBdr>
        <w:bottom w:val="single" w:sz="6" w:space="2" w:color="3B3F45"/>
      </w:pBdr>
    </w:pPr>
    <w:r>
      <w:rPr>
        <w:rFonts w:ascii="Times New Roman" w:hAnsi="Times New Roman"/>
        <w:color w:val="6B6B66"/>
        <w:sz w:val="16"/>
      </w:rPr>
      <w:t>Haushaltsreferat Z H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