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außerordentlichen Gesellschafterversammlung der Donaupart Präzisionstechnik GmbH vom 22. Juli 2025 (Fragment)</w:t>
      </w:r>
    </w:p>
    <w:p>
      <w:pPr>
        <w:jc w:val="left"/>
      </w:pPr>
      <w:r>
        <w:t>Vorbemerkung des Insolvenzverwalters: Das nachfolgende Schriftstück wurde am 4. Juni 2026 in den Unterlagen des Geschäftsführers Obermeier aufgefunden. Es liegt nur unvollständig vor; die Seiten 1 und 3 der offenbar vierseitigen Urschrift fehlen. Die vorhandenen Seiten 2 und 4 tragen handschriftliche Randbemerkungen, die in eckigen Klammern wiedergegeben sind. Eine unterschriebene Fassung wurde bislang nicht aufgefunden. Zur Handakte 3 IN 152/26, Komplex Krisenzeitpunkt.</w:t>
      </w:r>
    </w:p>
    <w:p>
      <w:pPr>
        <w:jc w:val="left"/>
      </w:pPr>
      <w:r>
        <w:t>Seite 2, fortlaufender Text:</w:t>
      </w:r>
    </w:p>
    <w:p>
      <w:pPr>
        <w:jc w:val="left"/>
      </w:pPr>
      <w:r>
        <w:t>... führte Herr Neurieder anhand der Treasury-Übersicht aus, dass das Verrechnungskonto der Gesellschaft zum 30. Juni 2025 mit 1.235.000 Euro im Soll stehe. Die Rückführungsstaffel aus dem Vermerk vom 14. April 2025 werde eingehalten, die Monatsraten seien aber nach Einschätzung des Treasury nur darstellbar, solange die beiden Großkunden ihre Zahlungsziele nicht weiter strecken. Frau Dr. Wenng erklärte, die Linie von 2.000.000 Euro bestehe formal fort, werde von der Holding aber nur noch in Höhe des jeweiligen Monatsbedarfs freigegeben. Die Sicherungsübereignung des Maschinenparks vom 18. Juni 2025 sei vollzogen; die Bänder- und Fräszentren blieben am Standort Osttangente. [Randbemerkung: Bewertung Maschinen? Buchwert 1,18 lt. Anlagenverz.]</w:t>
      </w:r>
    </w:p>
    <w:p>
      <w:pPr>
        <w:jc w:val="left"/>
      </w:pPr>
      <w:r>
        <w:t>Herr Kastl fragte, ob die Gesellschaft ihre Verbindlichkeiten außerhalb des Konzerns derzeit vollständig bediene. Herr Obermeier antwortete, es gebe Rückstände bei drei Lieferanten, die abgestimmt seien, sowie eine Stundungsvereinbarung mit dem Werkzeugbauer Grasser &amp; Sohn über 96.000 Euro bis September. Die Löhne für Juli seien gedeckt, für August sei man auf den Eingang der Rechnung Baureihe K7 angewiesen. [Randbemerkung, andere Handschrift: so nicht ins Protokoll? — Fragezeichen im Original]</w:t>
      </w:r>
    </w:p>
    <w:p>
      <w:pPr>
        <w:jc w:val="left"/>
      </w:pPr>
      <w:r>
        <w:t>Zum Verkaufsprozess berichtete Frau Dr. Wenng, dass von vier angesprochenen Interessenten zwei eine Vertraulichkeitsvereinbarung gezeichnet hätten. Ein indikatives Angebot werde für Oktober erwartet. Die Holding sei ...</w:t>
      </w:r>
    </w:p>
    <w:p>
      <w:pPr>
        <w:jc w:val="left"/>
      </w:pPr>
      <w:r>
        <w:t>(Seite 3 fehlt)</w:t>
      </w:r>
    </w:p>
    <w:p>
      <w:pPr>
        <w:jc w:val="left"/>
      </w:pPr>
      <w:r>
        <w:t>Seite 4, Schluss:</w:t>
      </w:r>
    </w:p>
    <w:p>
      <w:pPr>
        <w:jc w:val="left"/>
      </w:pPr>
      <w:r>
        <w:t>... wurde kein förmlicher Beschluss gefasst. Herr Kastl erklärte zu Protokoll, dass er seine Kündigung des Gesellschafterdarlehens vom 24. Juni 2025 aufrechterhalte und auf Rückzahlung zum 30. September 2025 bestehe. Frau Dr. Wenng nahm dies zur Kenntnis und wies darauf hin, dass die Bedienung aus dem laufenden Geschäft zu erfolgen habe, nicht aus der Linie. [Randbemerkung: mit FN klären]</w:t>
      </w:r>
    </w:p>
    <w:p>
      <w:pPr>
        <w:jc w:val="left"/>
      </w:pPr>
      <w:r>
        <w:t>Ende der Versammlung: 17:40 Uhr.</w:t>
      </w:r>
    </w:p>
    <w:p>
      <w:pPr>
        <w:jc w:val="left"/>
      </w:pPr>
      <w:r>
        <w:t>Für das Protokoll: Assistenz der Geschäftsführung, i. V. Heilmaier (Entwurf, nicht gezeichnet)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Donaupart Präzisionstechnik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Donaupart Präzisionstechnik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