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Mangold Restrukturierung, Stuttgart. Insolvenzverfahren über das Vermögen der Feinwerk Präzisionswerkzeuge GmbH, Amtsgericht Stuttgart, 4 IN 312/26. Vermerk vom 02.06.2026, gefertigt von RA'in Dr. Sibylle Mangold.</w:t>
      </w:r>
    </w:p>
    <w:p>
      <w:pPr>
        <w:jc w:val="left"/>
      </w:pPr>
      <w:r>
        <w:t>Heute um 09:15 Uhr Telefonat mit Herrn RA Prof. Dr. Urban Hetzel, Insolvenzverwalter über das Vermögen der Karrenberg Industrieholding GmbH (Amtsgericht Stuttgart, 6 IN 1841/25), auf meine Bitte vom 28.05.2026. Dauer etwa fünfundzwanzig Minuten. Gegenstand war der Stand des Mutterverfahrens, soweit für das hiesige Verfahren von Bedeutung.</w:t>
      </w:r>
    </w:p>
    <w:p>
      <w:pPr>
        <w:jc w:val="left"/>
      </w:pPr>
      <w:r>
        <w:t>Herr Prof. Hetzel teilte mit, dass im Mutterverfahren Forderungen von rund 46 Millionen Euro zur Tabelle angemeldet sind, davon der überwiegende Teil aus dem Konsortialkredit der Süddeutschen Kreditbank AG und des Bankhauses Löwental KGaA. Die von mir für die Schuldnerin dem Grunde nach angemeldete Rückgriffsforderung aus der Inanspruchnahme der Sicherheiten hat er im nachträglichen Prüfungstermin vom 12.05.2026 vorläufig bestritten, weil die Inanspruchnahme der Bürgschaft noch nicht abgeschlossen und die Verwertung des Grundstücks noch nicht erfolgt ist; er bat insoweit um Bezifferung nach Abschluss der Verwertung. Eine Quotenerwartung wollte er nicht verbindlich nennen; nach derzeitigem Stand der Masse und der Anmeldungen bewege sie sich, so wörtlich, „allenfalls im niedrigen einstelligen Bereich". Eine Abschlagsverteilung sei vor 2028 nicht zu erwarten.</w:t>
      </w:r>
    </w:p>
    <w:p>
      <w:pPr>
        <w:jc w:val="left"/>
      </w:pPr>
      <w:r>
        <w:t>Zum Cash-Pooling erklärte er, die Salden der Verrechnungskonten zwischen Mutter und Tochter für die Jahre 2023 bis 2025 seien zwischen unseren Häusern noch abzustimmen; sein Kanzleimitarbeiter Dr. Nickisch werde mir bis Mitte Juni eine Aufstellung aus der Konzernbuchhaltung übersenden. Die Buchhaltungsdaten der Holding lägen ihm seit April vollständig vor.</w:t>
      </w:r>
    </w:p>
    <w:p>
      <w:pPr>
        <w:jc w:val="left"/>
      </w:pPr>
      <w:r>
        <w:t>Auf meine Frage nach den Unterlagen zur Sicherheitenbestellung vom Mai 2023 sagte er zu, mir die bei der Holding vorhandene Korrespondenz mit der Bank aus dem Zeitraum März bis Mai 2023 in Kopie zu überlassen, soweit sie die Schuldnerin betrifft. Er wies darauf hin, dass Herr Sattelmaier als damaliger CFO auch in seinem Verfahren als Auskunftsperson benannt ist.</w:t>
      </w:r>
    </w:p>
    <w:p>
      <w:pPr>
        <w:jc w:val="left"/>
      </w:pPr>
      <w:r>
        <w:t>Wiedervorlage: 16.06.2026, Eingang der Cash-Pooling-Aufstellung.</w:t>
      </w:r>
    </w:p>
    <w:p>
      <w:pPr>
        <w:jc w:val="left"/>
      </w:pPr>
      <w:r>
        <w:t>Dr. Mangold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