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Insolvenzverfahren Möbelwerk Havelberg GmbH, Amtsgericht Stendal, Az. 7 IN 41/26. Vermerk: Dr. Nora Westphal, Insolvenzverwalterin, 22.09.2026, 16:10 Uhr. Mitgehört und Zahlen notiert: Frau Yildiz.</w:t>
      </w:r>
    </w:p>
    <w:p>
      <w:pPr>
        <w:pStyle w:val="Heading2"/>
      </w:pPr>
      <w:r>
        <w:rPr>
          <w:rFonts w:ascii="Times New Roman" w:hAnsi="Times New Roman"/>
        </w:rPr>
        <w:t>1 Gesprächsdaten</w:t>
      </w:r>
    </w:p>
    <w:p>
      <w:pPr>
        <w:jc w:val="left"/>
      </w:pPr>
      <w:r>
        <w:t>Telefonat mit Herrn Klaus-Dieter Hoffmann, Havelbank eG, Firmenkundenbetreuung, am 22.09.2026 von 15:30 bis 16:00 Uhr. Gegenstand: Abrechnung der Absonderungserlöse aus der Maschinenverwertung, Behandlung des Geschäftskontos, restliche Sicherheitenfreigabe.</w:t>
      </w:r>
    </w:p>
    <w:p>
      <w:pPr>
        <w:pStyle w:val="Heading2"/>
      </w:pPr>
      <w:r>
        <w:rPr>
          <w:rFonts w:ascii="Times New Roman" w:hAnsi="Times New Roman"/>
        </w:rPr>
        <w:t>2 Inhalt</w:t>
      </w:r>
    </w:p>
    <w:p>
      <w:pPr>
        <w:jc w:val="left"/>
      </w:pPr>
      <w:r>
        <w:t>Herr Hoffmann bestätigte den Eingang meiner Abrechnung vom 15.09.2026 zur Maschinenverwertung (Verkauf an die EML Maschinenhändler GmbH, Kaufpreis 237.000 EUR, Gutschrift auf dem Anderkonto am 09.09.2026). Zu den abgezogenen Feststellungs- und Verwertungskostenbeiträgen kündigte er eine "hausinterne Nachprüfung" an; die Bank gehe bei drei Positionen des Anlageverzeichnisses (laufende Nummern 7, 11 und 14) davon aus, dass diese nicht von der Sicherungsübereignung vom 03.02.2023 erfasst seien, sondern unter den Raumsicherungsvertrag von 2019 fielen, was den Kostenbeitrag anders verteile. Ich habe um schriftliche Darlegung mit den Vertragsunterlagen bis zum 06.10.2026 gebeten; die Sicherungsverträge von 2019 liegen mir bislang nur unvollständig vor (Seite 3 der Anlage fehlt in der von der Bank übersandten Kopie).</w:t>
      </w:r>
    </w:p>
    <w:p>
      <w:pPr>
        <w:jc w:val="left"/>
      </w:pPr>
      <w:r>
        <w:t>Zum Geschäftskonto der Schuldnerin teilte Herr Hoffmann mit, dass ein Restguthaben von 2.114,37 EUR nach Verrechnung mit Kontoführungsentgelten auf das Anderkonto überwiesen werde; die Verrechnung der Entgelte für Juli bis September habe ich beanstandet, da das Konto seit Eröffnung nur noch treuhänderisch geführt wird. Herr Hoffmann sagte Klärung zu.</w:t>
      </w:r>
    </w:p>
    <w:p>
      <w:pPr>
        <w:jc w:val="left"/>
      </w:pPr>
      <w:r>
        <w:t>Die Bank erklärte weiter, sie werde ihre restliche Ausfallforderung nach Verwertung aller Sicherheiten neu berechnen und die Anmeldung zur Tabelle entsprechend ermäßigen; eine korrigierte Anmeldung werde bis Mitte Oktober eingereicht. Zur Lackierkabine (Erlös 41.000 EUR) erhebt die Bank keine Rechte.</w:t>
      </w:r>
    </w:p>
    <w:p>
      <w:pPr>
        <w:pStyle w:val="Heading2"/>
      </w:pPr>
      <w:r>
        <w:rPr>
          <w:rFonts w:ascii="Times New Roman" w:hAnsi="Times New Roman"/>
        </w:rPr>
        <w:t>3 Weiteres Vorgehen</w:t>
      </w:r>
    </w:p>
    <w:p>
      <w:pPr>
        <w:jc w:val="left"/>
      </w:pPr>
      <w:r>
        <w:t>Wiedervorlage 07.10.2026. Eingang der schriftlichen Stellungnahme der Bank überwachen; Positionen 7, 11 und 14 des Anlageverzeichnisses mit den Sicherungsverträgen abgleichen, sobald die vollständigen Unterlagen vorliegen. Frau Yildiz bereitet die Gegenüberstellung der Kostenbeiträge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