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Nordhafen Turbinenbau GmbH, Einkauf und Lieferkette. Verfasserin: Maren Holst. Datum des Gesprächs: 12. Mai 2026, 09:15 bis 09:52 Uhr. Gesprächspartnerin: Frau Katrin Reimers, Hanseatische Transportversicherung AG, Schadenreferat, unter Beteiligung von Herrn Frank Paulsen ab 09:30 Uhr. Betrifft Schadenvorgang TV-2026-88431, Container MRSU 441208-7, Los NH-480.</w:t>
      </w:r>
    </w:p>
    <w:p>
      <w:pPr>
        <w:pStyle w:val="Heading2"/>
      </w:pPr>
      <w:r>
        <w:rPr>
          <w:rFonts w:ascii="Times New Roman" w:hAnsi="Times New Roman"/>
        </w:rPr>
        <w:t>1 Gesprächsinhalt</w:t>
      </w:r>
    </w:p>
    <w:p>
      <w:pPr>
        <w:jc w:val="left"/>
      </w:pPr>
      <w:r>
        <w:t>Frau Reimers bestätigte den Eingang des Protokolls der gemeinsamen Befundaufnahme vom 11. Mai. Sie erklärte, für die weitere Bearbeitung fehlten weiterhin das Container-Interchange-Receipt aus Genua, die unkomprimierten Loggerdateien der Kisten 11 und 14 sowie eine unterschriebene Aufstellung der drei in Linie 2 montierten Einheiten NH480-2203, NH480-2208 und NH480-2210. Ich habe zugesagt, die Loggerdateien und die Aufstellung bis 14. Mai zu übermitteln; das Interchange-Receipt aus Genua liegt uns nicht vor und wurde von Maasline angefordert.</w:t>
      </w:r>
    </w:p>
    <w:p>
      <w:pPr>
        <w:jc w:val="left"/>
      </w:pPr>
      <w:r>
        <w:t>Herr Paulsen berichtete, er habe bei der Besichtigung die Wasserstandsmarken in den Kisten 11 und 14 vermessen und die Fotos der Kranbilder aus Rotterdam gesichtet. Nach seiner Aussage lässt sich aus den Bildern vom 28. und 30. April der Zustand der rechten Türdichtung nicht beurteilen. Er will die Terminalantwort zur Frage des Ablaufwassers von der benachbarten Reefer-Plattform abwarten.</w:t>
      </w:r>
    </w:p>
    <w:p>
      <w:pPr>
        <w:pStyle w:val="Heading2"/>
      </w:pPr>
      <w:r>
        <w:rPr>
          <w:rFonts w:ascii="Times New Roman" w:hAnsi="Times New Roman"/>
        </w:rPr>
        <w:t>2 Deckungsfrage und weiteres Vorgehen</w:t>
      </w:r>
    </w:p>
    <w:p>
      <w:pPr>
        <w:jc w:val="left"/>
      </w:pPr>
      <w:r>
        <w:t>Frau Reimers wies darauf hin, dass die Deckungsprüfung weiterhin vorbehalten bleibt. Sie bat darum, vor einer kontrollierten Trocknung der gesperrten Lager eine schriftliche Freigabe des Versicherers einzuholen, und kündigte eine Zwischennachricht bis Ende der Kalenderwoche 21 an. Auf meine Frage nach einer Abschlagszahlung erklärte sie, hierzu könne sie derzeit keine Aussage treffen, solange Ursache und Zeitpunkt des Feuchtigkeitseintritts offen seien. Wiedervorlage: 15.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