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 Finance — Märkische Energie, Rechnung FP-2026-1518</w:t>
      </w:r>
    </w:p>
    <w:p>
      <w:pPr>
        <w:jc w:val="left"/>
      </w:pPr>
      <w:r>
        <w:t>Falkenried &amp; Partner mbB · Finance Operations · Unser Zeichen FIN Q2/2026-188</w:t>
      </w:r>
    </w:p>
    <w:p>
      <w:pPr>
        <w:jc w:val="left"/>
      </w:pPr>
      <w:r>
        <w:t>Vermerk: Miriam Groß · Telefonat am 08.07.2026, 11:05 bis 11:24 Uhr</w:t>
      </w:r>
    </w:p>
    <w:p>
      <w:pPr>
        <w:jc w:val="left"/>
      </w:pPr>
      <w:r>
        <w:t>Gesprächspartner: Herr Selchow, Leiter Kreditorenbuchhaltung der Märkische Energie, Durchwahl 0331 27409-118</w:t>
      </w:r>
    </w:p>
    <w:p>
      <w:pPr>
        <w:pStyle w:val="Heading2"/>
      </w:pPr>
      <w:r>
        <w:rPr>
          <w:rFonts w:ascii="Times New Roman" w:hAnsi="Times New Roman"/>
        </w:rPr>
        <w:t>1 Anlass</w:t>
      </w:r>
    </w:p>
    <w:p>
      <w:pPr>
        <w:jc w:val="left"/>
      </w:pPr>
      <w:r>
        <w:t>Die Rechnung FP-2026-1518 vom 30.04.2026 über 241.800,00 EUR brutto steht seit 67 Tagen offen und befindet sich in Mahnstufe 1. Herr Selchow hatte auf die Mahnung vom 30.06.2026 um einen Rückruf gebeten.</w:t>
      </w:r>
    </w:p>
    <w:p>
      <w:pPr>
        <w:pStyle w:val="Heading2"/>
      </w:pPr>
      <w:r>
        <w:rPr>
          <w:rFonts w:ascii="Times New Roman" w:hAnsi="Times New Roman"/>
        </w:rPr>
        <w:t>2 Auskunft des Mandanten</w:t>
      </w:r>
    </w:p>
    <w:p>
      <w:pPr>
        <w:jc w:val="left"/>
      </w:pPr>
      <w:r>
        <w:t>Herr Selchow erklärte, die Rechnung sei fachlich durch die Rechtsabteilung freigegeben; der Leistungsnachweis sei dort am 12.05.2026 bestätigt worden. Die Zahlung hänge allein an der internen Budgetzuordnung: Der Einkauf verlange eine Aufteilung des Betrags auf zwei Kostenstellen, weil ein Teil der Beratung das Tochterunternehmen Netzgesellschaft Havelring betreffe. Er bat um eine ergänzende Aufstellung, welche Zeiteinträge auf das Projekt Netzentgelte und welche auf die allgemeine Beratung entfallen. Eine Stornierung und Neuausstellung als zwei Rechnungen sei aus seiner Sicht nicht erforderlich, eine formlose Aufteilung als Anlage genüge dem Einkauf.</w:t>
      </w:r>
    </w:p>
    <w:p>
      <w:pPr>
        <w:jc w:val="left"/>
      </w:pPr>
      <w:r>
        <w:t>Bei Eingang der Aufstellung bis zum 15.07.2026 sagte Herr Selchow einen Zahllauf zum 24.07.2026 zu. Eine Teilzahlung von 120.000,00 EUR vorab lehnte er ab, weil das System nur vollständige Rechnungsfreigaben verarbeite. Skonto oder Kürzungen wurden nicht angesprochen.</w:t>
      </w:r>
    </w:p>
    <w:p>
      <w:pPr>
        <w:pStyle w:val="Heading2"/>
      </w:pPr>
      <w:r>
        <w:rPr>
          <w:rFonts w:ascii="Times New Roman" w:hAnsi="Times New Roman"/>
        </w:rPr>
        <w:t>3 Weiteres Vorgehen</w:t>
      </w:r>
    </w:p>
    <w:p>
      <w:pPr>
        <w:jc w:val="left"/>
      </w:pPr>
      <w:r>
        <w:t>Die Aufstellung nach Kostenstellen wird aus dem Zeiterfassungssystem gezogen; die Zuordnung der Einträge von Dr. Rabenau aus dem Februar ist vorab mit ihm abzustimmen, weil dort Sammelbuchungen vorliegen. Mahnstufe 2 wird bis zum 25.07.2026 ausgesetzt. Wiedervorlage am 16.07.2026; das Management Committee erhält den Vorgang mit dem nächsten Forderungsbericht.</w:t>
      </w:r>
    </w:p>
    <w:p>
      <w:pPr>
        <w:jc w:val="left"/>
      </w:pPr>
      <w:r>
        <w:t>Groß, 08.07.2026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Falkenried &amp; Partner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2"/>
      </w:rPr>
      <w:t>FALKENRIED &amp; PARTNER MBB</w:t>
    </w:r>
  </w:p>
  <w:p>
    <w:pPr>
      <w:jc w:val="left"/>
      <w:pBdr>
        <w:bottom w:val="single" w:sz="8" w:space="2" w:color="1F3864"/>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