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 höhere Landesplanungsbehörde</w:t>
      </w:r>
    </w:p>
    <w:p>
      <w:pPr>
        <w:jc w:val="left"/>
      </w:pPr>
      <w:r>
        <w:t>Rechtsabteilung Projekt Isarlicht. Datum des Gesprächs: 22. Juni 2026, 10:00 bis 10:40 Uhr. Gesprächspartner: Sachgebiet Raumordnung und Landesplanung bei der Regierung von Oberbayern, telefonische Vorabanfrage ohne Aktenzeichen. Teilnehmer auf Projektseite: Rechtsabteilung und Standortplanung.</w:t>
      </w:r>
    </w:p>
    <w:p>
      <w:pPr>
        <w:pStyle w:val="Heading2"/>
      </w:pPr>
      <w:r>
        <w:rPr>
          <w:rFonts w:ascii="Times New Roman" w:hAnsi="Times New Roman"/>
        </w:rPr>
        <w:t>1 Gesprächsinhalt</w:t>
      </w:r>
    </w:p>
    <w:p>
      <w:pPr>
        <w:jc w:val="left"/>
      </w:pPr>
      <w:r>
        <w:t>Das Sachgebiet erklärte, eine verbindliche Aussage sei ohne schriftliche Unterlagen nicht möglich; das Gespräch diene nur der Orientierung. Für ein Vorhaben mit einer Energieerzeugungsanlage und einer eigenen Verkehrsanbindung an einem bislang nicht überplanten Standort werde nach der Erfahrung des Sachgebiets regelmäßig ein Raumordnungsverfahren in Betracht kommen. Ob es eingeleitet wird, entscheide die Behörde nach Vorlage einer aussagekräftigen Vorhabenbeschreibung.</w:t>
      </w:r>
    </w:p>
    <w:p>
      <w:pPr>
        <w:jc w:val="left"/>
      </w:pPr>
      <w:r>
        <w:t>Für eine erste Einschätzung wurden folgende Unterlagen genannt: eine Beschreibung der Anlage mit Flächenbedarf und Emissionsprofil, eine Karte mit Schutzgebieten, Biotopen und Abständen zum Seeufer, eine Darstellung der Verkehrsanbindung mit Angabe des vorgesehenen Rechtsstatus sowie eine ernsthafte Untersuchung von Alternativstandorten. Auf Nachfrage bestätigte das Sachgebiet, dass die beiden intern diskutierten Alternativen, der Gewerbepark Nord und die Konversionsfläche an der Bahnstrecke, als Untersuchungsräume grundsätzlich geeignet erscheinen; eine Vorfestlegung sei damit nicht verbunden.</w:t>
      </w:r>
    </w:p>
    <w:p>
      <w:pPr>
        <w:jc w:val="left"/>
      </w:pPr>
      <w:r>
        <w:t>Zur Frage der Verfahrensdauer wollte sich das Sachgebiet nicht festlegen. Es wies darauf hin, dass die Gemeinde und die untere Naturschutzbehörde früh zu beteiligen wären und dass widersprüchliche öffentliche Aussagen des Vorhabenträgers die Abstimmung erfahrungsgemäß erschweren.</w:t>
      </w:r>
    </w:p>
    <w:p>
      <w:pPr>
        <w:pStyle w:val="Heading2"/>
      </w:pPr>
      <w:r>
        <w:rPr>
          <w:rFonts w:ascii="Times New Roman" w:hAnsi="Times New Roman"/>
        </w:rPr>
        <w:t>2 Weiteres Vorgehen</w:t>
      </w:r>
    </w:p>
    <w:p>
      <w:pPr>
        <w:jc w:val="left"/>
      </w:pPr>
      <w:r>
        <w:t>Vereinbart wurde, dass die Projektgesellschaft eine schriftliche Vorhabenbeschreibung übermittelt, sobald die Stoff- und Strahlenmatrix aus dem Sicherheitsbeirat vorliegt. Das Sachgebiet bat darum, den Termin für ein Behördenvorgespräch erst danach anzufragen. Wiedervorlage in der Rechtsabteilung: 15. Juli 2026.</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Telefonvermerk höhere Landesplanungsbehörde</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Telefonvermerk höhere Landesplanungsbehörde</w:t>
    </w:r>
  </w:p>
  <w:p>
    <w:pPr>
      <w:jc w:val="left"/>
      <w:pBdr>
        <w:bottom w:val="single" w:sz="6" w:space="2" w:color="3B3F45"/>
      </w:pBdr>
    </w:pPr>
    <w:r>
      <w:rPr>
        <w:rFonts w:ascii="Times New Roman" w:hAnsi="Times New Roman"/>
        <w:color w:val="6B6B66"/>
        <w:sz w:val="16"/>
      </w:rPr>
      <w:t>Behörde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