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Besprechungsnotiz vom 16.02.2026 (Auszug, zweite Seite fehlt)</w:t>
      </w:r>
    </w:p>
    <w:p>
      <w:pPr>
        <w:jc w:val="left"/>
      </w:pPr>
      <w:r>
        <w:t>Besprechung am Montag, 16.02.2026, 10:00 bis 11:10 Uhr, Besprechungsraum 2, Georges-Köhler-Allee 12. Anwesend: Tobias Reinke, Dr. Annika Sperling, Dr. Jonas Kettler, Petra Lohmann. Notiz: Dr. Sperling. Die Notiz wurde am 25.06.2026 auf Bitte von Herrn Reinke aus dem Laufwerk Regulatory in die Vorgangsakte übernommen; die zweite Seite mit den Punkten 4 bis 6 wurde dabei nicht aufgefunden.</w:t>
      </w:r>
    </w:p>
    <w:p>
      <w:pPr>
        <w:pStyle w:val="Heading2"/>
      </w:pPr>
      <w:r>
        <w:rPr>
          <w:rFonts w:ascii="Times New Roman" w:hAnsi="Times New Roman"/>
        </w:rPr>
        <w:t>1 Validierungsergebnis</w:t>
      </w:r>
    </w:p>
    <w:p>
      <w:pPr>
        <w:jc w:val="left"/>
      </w:pPr>
      <w:r>
        <w:t>Herr Dr. Kettler stellt den Validierungslauf vom 09.02.2026 vor: Gesamtsensitivität 94 Prozent bei 140 Fällen, in der Altersgruppe ab 80 Jahren 15 von 21 kritischen Fällen erkannt. Frau Lohmann berichtet, dass diese Altersgruppe in den Notaufnahmen der Kooperationskliniken den größten Anteil der Ersteinschätzungen stellt. Herr Dr. Kettler führt die Abweichung auf den geringen Anteil der Gruppe im Training und auf die Labelqualität der Quelle K5 zurück.</w:t>
      </w:r>
    </w:p>
    <w:p>
      <w:pPr>
        <w:pStyle w:val="Heading2"/>
      </w:pPr>
      <w:r>
        <w:rPr>
          <w:rFonts w:ascii="Times New Roman" w:hAnsi="Times New Roman"/>
        </w:rPr>
        <w:t>2 Darstellung in der technischen Dokumentation</w:t>
      </w:r>
    </w:p>
    <w:p>
      <w:pPr>
        <w:jc w:val="left"/>
      </w:pPr>
      <w:r>
        <w:t>Frau Dr. Sperling schlägt vor, in der Zusammenfassung der technischen Dokumentation den Gesamtwert zu führen und die stratifizierte Auswertung im Testbericht zu belassen; die Nachsammlung der Altersgruppendaten soll in den Plan zur Beobachtung nach dem Inverkehrbringen aufgenommen werden. Herr Dr. Kettler widerspricht der Formulierung, es gebe keine relevanten Subgruppenunterschiede, und verweist auf seine E-Mail vom 10.02.2026. Sein Widerspruch wird zur Notiz genommen. Herr Reinke bittet darum, die endgültige Formulierung vor Abgabe an die benannte Stelle noch einmal vorzulegen; ob dies geschehen ist, ergibt sich aus dieser Notiz nicht.</w:t>
      </w:r>
    </w:p>
    <w:p>
      <w:pPr>
        <w:pStyle w:val="Heading2"/>
      </w:pPr>
      <w:r>
        <w:rPr>
          <w:rFonts w:ascii="Times New Roman" w:hAnsi="Times New Roman"/>
        </w:rPr>
        <w:t>3 Zeitplan</w:t>
      </w:r>
    </w:p>
    <w:p>
      <w:pPr>
        <w:jc w:val="left"/>
      </w:pPr>
      <w:r>
        <w:t>Der Antrag an die PZM Süd soll im April 2026 gestellt werden. Frau Dr. Sperling nennt als Ziel die Zertifizierung im dritten Quartal 2026, da zwei Klinikkunden Rahmenverträge mit Lieferbeginn Oktober 2026 gezeichnet haben. Eine Verschiebung des Antrags zugunsten einer Datennachsammlung wird erörtert, aber</w:t>
      </w:r>
    </w:p>
    <w:p>
      <w:pPr>
        <w:jc w:val="left"/>
      </w:pPr>
      <w:r>
        <w:t>[Die Notiz bricht am Seitenende ab. Punkte 4 bis 6 fehlen.]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