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Protokoll der Partnerkreissitzung vom 28.05.2026 (Auszug, Seiten 1 bis 2 von 4)</w:t>
      </w:r>
    </w:p>
    <w:p>
      <w:pPr>
        <w:jc w:val="left"/>
      </w:pPr>
      <w:r>
        <w:t>Aktenzeichen KB-ORG-16/26. Beginn 17:05 Uhr, Konferenzraum Fasanenstraße. Anwesend: Dr. Eva König, Henrik Brehm, Dr. Robert Sanftleben (zugeschaltet ab 17:20 Uhr). Protokoll: Sabine Brückner. Die Seiten 3 und 4 fehlen im Scan; das Original liegt im Partnerbüro.</w:t>
      </w:r>
    </w:p>
    <w:p>
      <w:pPr>
        <w:pStyle w:val="Heading2"/>
      </w:pPr>
      <w:r>
        <w:rPr>
          <w:rFonts w:ascii="Times New Roman" w:hAnsi="Times New Roman"/>
        </w:rPr>
        <w:t>1 Stand der internen Nutzungsrichtlinie</w:t>
      </w:r>
    </w:p>
    <w:p>
      <w:pPr>
        <w:jc w:val="left"/>
      </w:pPr>
      <w:r>
        <w:t>Frau Dr. König berichtet, dass die gemeinsame Fassung vom 18. Mai vorliegt und die Anmerkungen aus dem Umlauf eingearbeitet sind. Herr Brehm hält an seinem Vermerk fest, dass eine Verteilung an die Mitarbeiter erst nach Klärung der Kostenstelle 4190 erfolgen soll. Frau Dr. König weist darauf hin, dass die Abweichung zwischen sieben abgerechneten Zugängen und neun Personen auf der Teilnehmerliste weiterhin nicht aufgeklärt ist. Herr Sanftleben fragt, ob das Sammelkonto der Bibliothek zwei der neun Personen abdeckt; eine Antwort dazu liegt nicht vor.</w:t>
      </w:r>
    </w:p>
    <w:p>
      <w:pPr>
        <w:pStyle w:val="Heading2"/>
      </w:pPr>
      <w:r>
        <w:rPr>
          <w:rFonts w:ascii="Times New Roman" w:hAnsi="Times New Roman"/>
        </w:rPr>
        <w:t>2 Sammelkonto Bibliothek und Kostenstelle 4190</w:t>
      </w:r>
    </w:p>
    <w:p>
      <w:pPr>
        <w:jc w:val="left"/>
      </w:pPr>
      <w:r>
        <w:t>Das Sammelkonto läuft ohne Personenzuordnung und ohne Bestellbezug. Der IT-Dienstleister kann es nach eigener Auskunft nur mit Freigabe von Herrn Brehm sperren. Herr Brehm erklärt, er habe eine solche Freigabe bislang nicht erteilt und wolle zunächst wissen, wer das Konto eingerichtet hat. Frau Brückner wird gebeten, dies bei Herrn Neumann zu erfragen.</w:t>
      </w:r>
    </w:p>
    <w:p>
      <w:pPr>
        <w:pStyle w:val="Heading2"/>
      </w:pPr>
      <w:r>
        <w:rPr>
          <w:rFonts w:ascii="Times New Roman" w:hAnsi="Times New Roman"/>
        </w:rPr>
        <w:t>3 Angebot der IT-Service Havel GmbH zur Protokollspeicherung</w:t>
      </w:r>
    </w:p>
    <w:p>
      <w:pPr>
        <w:jc w:val="left"/>
      </w:pPr>
      <w:r>
        <w:t>Das Angebot vom 26. Mai über eine verlängerte Speicherdauer der Protokolldaten liegt vor. Herr Brehm bittet um Vergleich mit der bestehenden Leistungsbeschreibung, bevor bestellt wird. Die Standortanlage aus Potsdam ist weiterhin nicht gegengezeichnet.</w:t>
      </w:r>
    </w:p>
    <w:p>
      <w:pPr>
        <w:pStyle w:val="Heading2"/>
      </w:pPr>
      <w:r>
        <w:rPr>
          <w:rFonts w:ascii="Times New Roman" w:hAnsi="Times New Roman"/>
        </w:rPr>
        <w:t>4 Offene Einzelpunkte</w:t>
      </w:r>
    </w:p>
    <w:p>
      <w:pPr>
        <w:jc w:val="left"/>
      </w:pPr>
      <w:r>
        <w:t>Die Teilnahmebestätigungen von Herrn Mertens und Herrn Kühne fehlen weiterhin. Für Herrn Kühne ist ein Nachholtermin am 4. Juni um 8:30 Uhr vorgesehen. Das Privatkonto von Frau Aßmann besteht nach ihrer Auskunft noch, weil dort Rechercheverläufe aus einem laufenden Mandat gespeichert seien. Herr Sanftleben regt an, die Frage der privaten Endgeräte auf die Junisitzung zu vertagen, da er</w:t>
      </w:r>
    </w:p>
    <w:p>
      <w:pPr>
        <w:jc w:val="left"/>
      </w:pPr>
      <w:r>
        <w:t>[Der Scan bricht hier ab. Fortsetzung auf Seite 3 des Originals.]</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IT-Service Havel 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1F3864"/>
        <w:sz w:val="24"/>
      </w:rPr>
      <w:t>IT-Service Havel GmbH</w:t>
    </w:r>
  </w:p>
  <w:p>
    <w:pPr>
      <w:jc w:val="left"/>
      <w:pBdr>
        <w:bottom w:val="single" w:sz="6" w:space="2" w:color="1F3864"/>
      </w:pBdr>
    </w:pPr>
    <w:r>
      <w:rPr>
        <w:rFonts w:ascii="Times New Roman" w:hAnsi="Times New Roman"/>
        <w:color w:val="6B6B66"/>
        <w:sz w:val="16"/>
      </w:rPr>
      <w:t>Unternehmen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