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zur Verbändeanhörung — Entwurf eines Pflichtpostfachgesetzes (PflPostG)</w:t>
      </w:r>
    </w:p>
    <w:p>
      <w:pPr>
        <w:jc w:val="left"/>
      </w:pPr>
      <w:r>
        <w:t>Bundesverband Elektronischer Rechtsverkehr der Wirtschaft e. V. (BERW), Reinhardtstraße 29, 10117 Berlin. An das Bundesministerium der Justiz, Referat I A 4, Mohrenstraße 37, 10117 Berlin. Berlin, den 4. September 2026. Unser Zeichen: BERW-2026-114.</w:t>
      </w:r>
    </w:p>
    <w:p>
      <w:pPr>
        <w:jc w:val="left"/>
      </w:pPr>
      <w:r>
        <w:t>Der BERW vertritt rund 640 Mitgliedsunternehmen, darunter etwa 480 kleine und mittlere im Handelsregister eingetragene Gesellschaften. Wir bedanken uns für die Gelegenheit zur Stellungnahme im Rahmen der Verbändeanhörung und nehmen wie folgt Stellung.</w:t>
      </w:r>
    </w:p>
    <w:p>
      <w:pPr>
        <w:pStyle w:val="Heading2"/>
      </w:pPr>
      <w:r>
        <w:rPr>
          <w:rFonts w:ascii="Times New Roman" w:hAnsi="Times New Roman"/>
        </w:rPr>
        <w:t>1 Grundsätzliche Bewertung</w:t>
      </w:r>
    </w:p>
    <w:p>
      <w:pPr>
        <w:jc w:val="left"/>
      </w:pPr>
      <w:r>
        <w:t>Der Verband unterstützt das Ziel, die elektronische Zustellung an Gesellschaften auf einen einheitlichen Kanal zu führen. Unsere Mitglieder berichten übereinstimmend, dass heute je nach absendender Stelle bis zu fünf verschiedene Postfach- und Zustellwege parallel zu überwachen sind, was insbesondere in kleinen Verwaltungen zu Fristversäumnissen führt.</w:t>
      </w:r>
    </w:p>
    <w:p>
      <w:pPr>
        <w:pStyle w:val="Heading2"/>
      </w:pPr>
      <w:r>
        <w:rPr>
          <w:rFonts w:ascii="Times New Roman" w:hAnsi="Times New Roman"/>
        </w:rPr>
        <w:t>2 Erfüllungsaufwand für kleine Gesellschaften</w:t>
      </w:r>
    </w:p>
    <w:p>
      <w:pPr>
        <w:jc w:val="left"/>
      </w:pPr>
      <w:r>
        <w:t>Die im Entwurf angesetzten einmaligen Einrichtungskosten je Gesellschaft halten wir für zu niedrig gegriffen. Nach einer Umfrage unter 212 Mitgliedsunternehmen aus dem August 2026 rechnen zwei Drittel mit externem Dienstleisteraufwand, weil eine eigene IT-Abteilung nicht vorhanden ist; die genannten Beträge lagen zwischen 900 und 2.400 Euro einmalig zuzüglich laufender Kosten. Wir regen an, die Annahmen zum Erfüllungsaufwand mit den tatsächlichen Angeboten der Postfachanbieter abzugleichen und die Umfrageergebnisse, die wir als Anlage beifügen, auszuwerten.</w:t>
      </w:r>
    </w:p>
    <w:p>
      <w:pPr>
        <w:pStyle w:val="Heading2"/>
      </w:pPr>
      <w:r>
        <w:rPr>
          <w:rFonts w:ascii="Times New Roman" w:hAnsi="Times New Roman"/>
        </w:rPr>
        <w:t>3 Übergangsfrist und Bestandspostfächer</w:t>
      </w:r>
    </w:p>
    <w:p>
      <w:pPr>
        <w:jc w:val="left"/>
      </w:pPr>
      <w:r>
        <w:t>Die vorgesehene Übergangsfrist von zwölf Monaten ab Inkrafttreten ist aus Sicht der Praxis zu kurz, wenn zeitgleich mehrere hunderttausend Gesellschaften Postfächer einrichten, identifizieren und registrieren müssen. Wir schlagen eine gestaffelte Einführung nach Registergerichtsbezirken oder nach Firmenbuchstaben vor. Ferner bitten wir um Klarstellung, ob ein bereits vorhandenes Organisationspostfach oder das Unternehmenskonto die Pflicht erfüllt oder ob ein zusätzliches, eigenes Pflichtpostfach einzurichten ist; die Begründung lässt beide Lesarten zu.</w:t>
      </w:r>
    </w:p>
    <w:p>
      <w:pPr>
        <w:pStyle w:val="Heading2"/>
      </w:pPr>
      <w:r>
        <w:rPr>
          <w:rFonts w:ascii="Times New Roman" w:hAnsi="Times New Roman"/>
        </w:rPr>
        <w:t>4 Zustellfiktion und Urlaubszeiten</w:t>
      </w:r>
    </w:p>
    <w:p>
      <w:pPr>
        <w:jc w:val="left"/>
      </w:pPr>
      <w:r>
        <w:t>Mehrere Mitgliedsunternehmen, insbesondere Familiengesellschaften ohne ständige Büropräsenz, weisen darauf hin, dass eine strenge Abrufobliegenheit in Verbindung mit einer Zustellfiktion in Betriebsferien zu erheblichen Härten führt. Wir bitten, eine Regelung für nachweisbare Abwesenheitszeiten zu prüfen.</w:t>
      </w:r>
    </w:p>
    <w:p>
      <w:pPr>
        <w:pStyle w:val="Heading2"/>
      </w:pPr>
      <w:r>
        <w:rPr>
          <w:rFonts w:ascii="Times New Roman" w:hAnsi="Times New Roman"/>
        </w:rPr>
        <w:t>5 Anhörung</w:t>
      </w:r>
    </w:p>
    <w:p>
      <w:pPr>
        <w:jc w:val="left"/>
      </w:pPr>
      <w:r>
        <w:t>Für ein Fachgespräch stehen wir zur Verfügung. Ansprechpartnerin ist Frau Dr. Cordula Wittkamp, Leiterin Recht und Politik, erreichbar unter wittkamp@berw-verband.de.</w:t>
      </w:r>
    </w:p>
    <w:p>
      <w:pPr>
        <w:jc w:val="left"/>
      </w:pPr>
      <w:r>
        <w:t>Dr. Cordula Wittkamp, Leiterin Recht und Politik</w:t>
      </w:r>
    </w:p>
    <w:p>
      <w:pPr>
        <w:jc w:val="left"/>
      </w:pPr>
      <w:r>
        <w:t>Henning Grabowski, 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