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Protokollfragment Compliance-Call Dublin/Frankfurt</w:t>
      </w:r>
    </w:p>
    <w:p>
      <w:pPr>
        <w:jc w:val="left"/>
      </w:pPr>
      <w:r>
        <w:t>Videokonferenz am 15. Juni 2026, 11:00 bis 11:50 Uhr. Teilnehmende: Aisling Byrne (Group Head of Public Policy, Dublin), Jonas Krüger (Regulatory Affairs, Frankfurt), Dr. Carla Heidenreich (Frankfurt), Fionn O'Casey (Group Compliance, Dublin), zeitweise Dr. Mara Voss (Kanzlei Lindenhafen, ab 11:25 Uhr). Protokoll: Sofia Marin. Hinweis der Protokollführerin: Mitschrift ab 11:10 Uhr, die ersten zehn Minuten sind wegen eines Verbindungsabbruchs nicht erfasst.</w:t>
      </w:r>
    </w:p>
    <w:p>
      <w:pPr>
        <w:jc w:val="left"/>
      </w:pPr>
      <w:r>
        <w:t>1 Stand der Anfrage bei der registerführenden Stelle</w:t>
      </w:r>
    </w:p>
    <w:p>
      <w:pPr>
        <w:jc w:val="left"/>
      </w:pPr>
      <w:r>
        <w:t>Frau Dr. Voss berichtet, die registerführende Stelle habe mit Schreiben vom 10. Juni 2026 den Eingang der Anfrage bestätigt (Vorgangsnummer LR-A-2026-5521) und eine Bearbeitungszeit von vier bis sechs Wochen genannt. Die Stelle habe zugleich mitgeteilt, dass die laufende Anfrage eine etwaige Registrierungspflicht nicht aufschiebe. Herr O'Casey fragt, ob die nachgeforderten Personenangaben ohne Freigabe der betroffenen Mitarbeiter übermittelt werden dürfen; Frau Dr. Voss verweist auf die bereits eingeholten Freigaben laut Aktenstück 23, offen sei nur noch die Freigabe von Frau Marin.</w:t>
      </w:r>
    </w:p>
    <w:p>
      <w:pPr>
        <w:jc w:val="left"/>
      </w:pPr>
      <w:r>
        <w:t>2 Terminlage und Schwellenzählung</w:t>
      </w:r>
    </w:p>
    <w:p>
      <w:pPr>
        <w:jc w:val="left"/>
      </w:pPr>
      <w:r>
        <w:t>Herr Krüger berichtet, für Juli seien drei weitere Termine angefragt: Finanzausschuss-Büro am 7. Juli, BMF Referat VII B 3 am 9. Juli, Fraktionsmitarbeiterrunde am 21. Juli. Das Kontaktlog werde fortgeschrieben. Frau Byrne weist darauf hin, dass die Policy Note zum Digital-Euro-Begleitgesetz in der Version 4 aus Dublin noch nicht freigegeben sei; das Board habe die Freigabe am 11. Juni vertagt. Frau Heidenreich merkt an, das BMF habe für den Termin am 9. Juli um vorherige Zusendung des Papiers gebeten; ohne Freigabe könne der Termin platzen.</w:t>
      </w:r>
    </w:p>
    <w:p>
      <w:pPr>
        <w:jc w:val="left"/>
      </w:pPr>
      <w:r>
        <w:t>3 Streitpunkt Portalentwurf</w:t>
      </w:r>
    </w:p>
    <w:p>
      <w:pPr>
        <w:jc w:val="left"/>
      </w:pPr>
      <w:r>
        <w:t>Herr O'Casey erklärt, Dublin habe den Portalentwurf für den Eintrag der plc am 12. Juni erneut bearbeitet und dabei die Frankfurter Kostenstellen aus dem Finanzblock herausgenommen, weil die Zahlen aus seiner Sicht erst nach dem Kostenstellenmapping belastbar seien. Herr Krüger widerspricht: Die Reisekosten Berlin von 7400 Euro und der Anteil Regulatory Affairs seien bereits testiert und stünden im Aktenstück 12; ein Eintrag ohne diese Positionen sei aus Frankfurter Sicht unvollständig. Eine Einigung wird nicht erzielt. Frau Byrne bittet die Kanzlei, beide Fassungen des Finanzblocks nebeneinanderzulegen.</w:t>
      </w:r>
    </w:p>
    <w:p>
      <w:pPr>
        <w:jc w:val="left"/>
      </w:pPr>
      <w:r>
        <w:t>4 Vertagte Punkte</w:t>
      </w:r>
    </w:p>
    <w:p>
      <w:pPr>
        <w:jc w:val="left"/>
      </w:pPr>
      <w:r>
        <w:t>Die Frage, wer als Ansprechperson im öffentlichen Registerprofil genannt wird, sowie die Behandlung der Spreebogen Regulatory GmbH werden auf den nächsten Call am 29. Juni 2026 vertagt. Das Protokoll der Punkte 1 und 2 des Gesprächs (vor 11:10 Uhr) soll aus den Notizen von Frau Heidenreich rekonstruiert werden; bis Redaktionsschluss lagen diese Notizen nicht vor.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