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Registergericht</w:t>
      </w:r>
    </w:p>
    <w:p>
      <w:pPr>
        <w:jc w:val="left"/>
      </w:pPr>
      <w:r>
        <w:t>Nationaler Normenkontrollrat, Sekretariat. Vorgang NKR-RefE-2026-088 (ElErrHandRegG). Vermerk: Dr. Wilhelm Stadelheim-Bechler, 12.05.2026, im Nachgang diktiert, Reinschrift durch das Sekretariat am 13.05.2026.</w:t>
      </w:r>
    </w:p>
    <w:p>
      <w:pPr>
        <w:pStyle w:val="Heading2"/>
      </w:pPr>
      <w:r>
        <w:rPr>
          <w:rFonts w:ascii="Times New Roman" w:hAnsi="Times New Roman"/>
        </w:rPr>
        <w:t>1 Gesprächsdaten</w:t>
      </w:r>
    </w:p>
    <w:p>
      <w:pPr>
        <w:jc w:val="left"/>
      </w:pPr>
      <w:r>
        <w:t>Telefonat am 12.05.2026, 10:05 bis 10:50 Uhr, mit dem Amtsgericht Charlottenburg, Registergericht. Gesprächspartnerin: Rechtspflegerin Frau Cordts, Gruppenleitung HRB-Neueintragungen; zeitweise zugeschaltet Herr Jelinek, IT-Verbindungsstelle der Berliner Justiz. Anlass: Plausibilisierung der Vollzugsannahmen für den Praktikabilitätstest (Aktenstück 10) vor Abfassung der Stellungnahme.</w:t>
      </w:r>
    </w:p>
    <w:p>
      <w:pPr>
        <w:pStyle w:val="Heading2"/>
      </w:pPr>
      <w:r>
        <w:rPr>
          <w:rFonts w:ascii="Times New Roman" w:hAnsi="Times New Roman"/>
        </w:rPr>
        <w:t>2 Angaben der Gesprächspartner</w:t>
      </w:r>
    </w:p>
    <w:p>
      <w:pPr>
        <w:jc w:val="left"/>
      </w:pPr>
      <w:r>
        <w:t>Frau Cordts beziffert den laufenden Bestand ihres Gerichts auf rund 305.000 eingetragene Gesellschaften und die jährlichen Neueintragungen auf etwa 21.000. Eine Pflicht zur Entgegennahme und Prüfung monatlicher Lebensbescheide wäre nach ihrer Einschätzung mit dem vorhandenen Personal "schlicht nicht zu bearbeiten"; schon heute lägen unerledigte Anmeldungen aus vier Wochen vor. Bei einem monatlichen Turnus rechnet sie überschlägig mit über 3.6 Millionen zusätzlichen Eingängen pro Jahr allein für Charlottenburg, wenn keine vollautomatische Verarbeitung gelingt.</w:t>
      </w:r>
    </w:p>
    <w:p>
      <w:pPr>
        <w:jc w:val="left"/>
      </w:pPr>
      <w:r>
        <w:t>Herr Jelinek weist darauf hin, dass das Fachverfahren AUREG eine automatisierte Quittierung eingehender Bestätigungen derzeit nicht vorsieht und eine Anpassung frühestens 18 Monate nach Beauftragung produktiv gehen könne. Drei parallele technische Standards würden drei getrennte Eingangsschnittstellen erfordern; für De-Mail sei die Bestandspflege bereits heute problematisch, weil mehrere Anbieter den Dienst abgekündigt hätten.</w:t>
      </w:r>
    </w:p>
    <w:p>
      <w:pPr>
        <w:jc w:val="left"/>
      </w:pPr>
      <w:r>
        <w:t>Auf die Frage nach dem Zwangsgeldverfahren berichtet Frau Cordts, dass schon die heutigen Verfahren nach Paragraf 14 HGB in ihrer Abteilung im Schnitt sieben Monate bis zur Festsetzung benötigen. Eine Löschung als Folgesanktion hält sie für "praktisch kaum je vollziehbar", weil vorher stets Ermittlungen zum tatsächlichen Geschäftsbetrieb nötig würden.</w:t>
      </w:r>
    </w:p>
    <w:p>
      <w:pPr>
        <w:pStyle w:val="Heading2"/>
      </w:pPr>
      <w:r>
        <w:rPr>
          <w:rFonts w:ascii="Times New Roman" w:hAnsi="Times New Roman"/>
        </w:rPr>
        <w:t>3 Verabredung</w:t>
      </w:r>
    </w:p>
    <w:p>
      <w:pPr>
        <w:jc w:val="left"/>
      </w:pPr>
      <w:r>
        <w:t>Frau Cordts übersendet eine anonymisierte Auswertung der Erledigungszeiten 2025 an das Sekretariat (zugesagt bis 20.05.2026, Eingang bei Reinschrift noch offen). Die Angaben fließen in Abschnitt Vollzug der Stellungnahme ein; eine Freigabe des Zitats "schlicht nicht zu bearbeiten" für die öffentliche Fassung wurde nicht erbeten.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Registergericht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Registergericht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