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 Kommunalaufsicht des Landkreises</w:t>
      </w:r>
    </w:p>
    <w:p>
      <w:pPr>
        <w:jc w:val="left"/>
      </w:pPr>
      <w:r>
        <w:t>Stadt Havelstadt · Projektbüro Schulcampus · Rathausmarkt 3, 14712 Havelstadt</w:t>
      </w:r>
    </w:p>
    <w:p>
      <w:pPr>
        <w:jc w:val="left"/>
      </w:pPr>
      <w:r>
        <w:t>Vermerk vom 29. Juni 2026, gefertigt von Miriam Brüggemann, Projektleiterin</w:t>
      </w:r>
    </w:p>
    <w:p>
      <w:pPr>
        <w:jc w:val="left"/>
      </w:pPr>
      <w:r>
        <w:t>Unser Zeichen: SC-ÖPP-2026/07</w:t>
      </w:r>
    </w:p>
    <w:p>
      <w:pPr>
        <w:jc w:val="left"/>
      </w:pPr>
      <w:r>
        <w:t>Gespräch am 29. Juni 2026, 10:15 bis 10:52 Uhr, mit Herrn Radloff, Kommunalaufsicht des Landkreises, Sachgebiet Gemeindefinanzen. Anlass war die telefonische Voranfrage der Stadt vom 24. Juni zur aufsichtlichen Behandlung des geplanten ÖPP-Vertrags.</w:t>
      </w:r>
    </w:p>
    <w:p>
      <w:pPr>
        <w:pStyle w:val="Heading2"/>
      </w:pPr>
      <w:r>
        <w:rPr>
          <w:rFonts w:ascii="Times New Roman" w:hAnsi="Times New Roman"/>
        </w:rPr>
        <w:t>1 Gesprächsinhalt</w:t>
      </w:r>
    </w:p>
    <w:p>
      <w:pPr>
        <w:jc w:val="left"/>
      </w:pPr>
      <w:r>
        <w:t>Herr Radloff erklärte, die Kommunalaufsicht betrachte eine langlaufende Verfügbarkeitsrate über 25 Jahre als kreditähnliches Rechtsgeschäft. Die Stadt müsse daher vor Zuschlag eine Genehmigung beantragen. Für die Prüfung benötige das Sachgebiet den vollständigen Vertragsentwurf, den abgeschlossenen Wirtschaftlichkeitsvergleich mit einheitlichem Preisstand, die aktuelle Haushaltslage einschließlich der mittelfristigen Ergebnisplanung und eine Darstellung der Risikoverteilung beim Baugrund. Er verwies darauf, dass die Rückfragen des Rechnungsprüfungsamts vom 25. Juni (RPA 3-2026/188) der Aufsicht bekannt seien; ohne bereinigte Modellrechnung werde die Genehmigungsprüfung nicht begonnen.</w:t>
      </w:r>
    </w:p>
    <w:p>
      <w:pPr>
        <w:jc w:val="left"/>
      </w:pPr>
      <w:r>
        <w:t>Auf die Frage nach der Bearbeitungsdauer nannte Herr Radloff sechs bis acht Wochen ab vollständigem Eingang. Eine Vorabstimmung auf Arbeitsebene sei möglich; er bat um Übersendung des Entwurfs des Preisblatts der Verhandlungsrunde 2 mit der anfänglichen Verfügbarkeitsrate von 13190000,00 Euro sowie der Obergrenze der Wirtschaftlichkeitsuntersuchung von 12600000,00 Euro. Zur Frage der Bank nach einer kommunalaufsichtlichen Stellungnahme sagte er, eine solche Stellungnahme werde erst nach Antragstellung und nicht als bloße Komfortbestätigung abgegeben.</w:t>
      </w:r>
    </w:p>
    <w:p>
      <w:pPr>
        <w:pStyle w:val="Heading2"/>
      </w:pPr>
      <w:r>
        <w:rPr>
          <w:rFonts w:ascii="Times New Roman" w:hAnsi="Times New Roman"/>
        </w:rPr>
        <w:t>2 Weiteres Vorgehen</w:t>
      </w:r>
    </w:p>
    <w:p>
      <w:pPr>
        <w:jc w:val="left"/>
      </w:pPr>
      <w:r>
        <w:t>Das Projektbüro stellt die Unterlagenliste bis zum 3. Juli zusammen. Die Kämmerei wird um die Haushaltsdaten gebeten. Herr Radloff erhält den Zwischenstand der Baugrunderkundung, sobald die Laborbestätigung des Labors Märkisch vorliegt. Wiedervorlage: 6. Juli 2026.</w:t>
      </w:r>
    </w:p>
    <w:p>
      <w:pPr>
        <w:jc w:val="left"/>
      </w:pPr>
      <w:r>
        <w:t>gez. Brüggemann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Telefonvermerk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Telefonvermerk</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