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Feldhusen &amp; Partner Rechtsanwälte, Bremen — Unser Zeichen: 2026-0412/FE</w:t>
      </w:r>
    </w:p>
    <w:p>
      <w:pPr>
        <w:jc w:val="left"/>
      </w:pPr>
      <w:r>
        <w:t>Datum: 10.07.2026, 10:10 bis 10:35 Uhr. Gesprächsführung: Rechtsanwältin Feldhusen. Gesprächspartner: Herr Wittkopp, Deutsche Rentenversicherung Oldenburg-Bremen, Fachreferat Hinterbliebenenrenten, Kennzeichen HB-WR 2026-1877.</w:t>
      </w:r>
    </w:p>
    <w:p>
      <w:pPr>
        <w:pStyle w:val="Heading2"/>
      </w:pPr>
      <w:r>
        <w:rPr>
          <w:rFonts w:ascii="Times New Roman" w:hAnsi="Times New Roman"/>
        </w:rPr>
        <w:t>1 Anlass</w:t>
      </w:r>
    </w:p>
    <w:p>
      <w:pPr>
        <w:jc w:val="left"/>
      </w:pPr>
      <w:r>
        <w:t>Sachstandsanfrage zum Widerspruch vom 24.06.2026 gegen den Bescheid vom 28.05.2026, nachdem die Eingangsbestätigung zwar den Eingang und die Abgabe an das Fachreferat bestätigt, die beantragten Unterlagen aber noch nicht eingegangen sind.</w:t>
      </w:r>
    </w:p>
    <w:p>
      <w:pPr>
        <w:pStyle w:val="Heading2"/>
      </w:pPr>
      <w:r>
        <w:rPr>
          <w:rFonts w:ascii="Times New Roman" w:hAnsi="Times New Roman"/>
        </w:rPr>
        <w:t>2 Inhalt des Gesprächs</w:t>
      </w:r>
    </w:p>
    <w:p>
      <w:pPr>
        <w:jc w:val="left"/>
      </w:pPr>
      <w:r>
        <w:t>Herr Wittkopp bestätigt, dass der Widerspruch dem Fachreferat vorliegt und die Akte ihm zugeteilt ist. Die im Widerspruch angeforderte Anlage zur Einkommensanrechnung mit Aufschlüsselung der Einkommensarten und der pauschalen Nettoermittlung werde schriftlich übersandt; er rechne mit einem Versand innerhalb von drei Wochen, da die Anlage aus dem maschinellen Verfahren angefordert werden müsse. Am Telefon könne er die Zusammensetzung des angesetzten Nettoeinkommens von 1.236,20 EUR nicht aufschlüsseln; er sehe im System nur den Gesamtbetrag der automatisierten Einkommensmeldung, nicht deren Einzelpositionen.</w:t>
      </w:r>
    </w:p>
    <w:p>
      <w:pPr>
        <w:jc w:val="left"/>
      </w:pPr>
      <w:r>
        <w:t>Die beiden Versicherungsverläufe (Konto des verstorbenen Karl Bruns, 15 120855 B 508, und Konto der Mandantin, 15 030458 B 021) würden getrennt erstellt und getrennt versandt; der Verlauf der Mandantin komme aus der Kontoklärung und könne etwas länger dauern. Die Anfrage zu den von der Weser Pflegekasse gemeldeten Pflichtbeiträgen sei an die Kontoführung weitergeleitet; eine schriftliche Antwort ergehe zusammen mit dem Versicherungsverlauf.</w:t>
      </w:r>
    </w:p>
    <w:p>
      <w:pPr>
        <w:jc w:val="left"/>
      </w:pPr>
      <w:r>
        <w:t>Auf Nachfrage erklärt Herr Wittkopp, dass die laufende Zahlung der Witwenrente durch den Widerspruch nicht berührt wird; ab August 2026 werde zunächst der Zahlbetrag aus dem angefochtenen Bescheid angewiesen. Mit einer Entscheidung über den Widerspruch sei nicht vor Eingang und Auswertung der Unterlagen zu rechnen; er nannte unverbindlich sechs bis acht Wochen.</w:t>
      </w:r>
    </w:p>
    <w:p>
      <w:pPr>
        <w:pStyle w:val="Heading2"/>
      </w:pPr>
      <w:r>
        <w:rPr>
          <w:rFonts w:ascii="Times New Roman" w:hAnsi="Times New Roman"/>
        </w:rPr>
        <w:t>3 Veranlassung</w:t>
      </w:r>
    </w:p>
    <w:p>
      <w:pPr>
        <w:jc w:val="left"/>
      </w:pPr>
      <w:r>
        <w:t>Wiedervorlage 31.07.2026 (Eingang der Anlage prüfen). Mandantin über den Zwischenstand informieren, verbunden mit dem Hinweis auf den ab August verringerten Zahlbetrag.</w:t>
      </w:r>
    </w:p>
    <w:p>
      <w:pPr>
        <w:jc w:val="left"/>
      </w:pPr>
      <w:r>
        <w:t>Feldhusen, 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Feldhusen &amp; Partner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FELDHUSEN &amp; PARTNER RECHTSANWÄLTE</w:t>
    </w:r>
  </w:p>
  <w:p>
    <w:pPr>
      <w:jc w:val="left"/>
      <w:pBdr>
        <w:bottom w:val="single" w:sz="8" w:space="2" w:color="1F3864"/>
      </w:pBdr>
    </w:pPr>
    <w:r>
      <w:rPr>
        <w:rFonts w:ascii="Times New Roman" w:hAnsi="Times New Roman"/>
        <w:color w:val="6B6B66"/>
        <w:sz w:val="16"/>
      </w:rPr>
      <w:t>Bremen — Unser Zeichen: 2026-0412/FE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