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Notiz zum Rückruf der Künstlersozialkasse</w:t>
      </w:r>
    </w:p>
    <w:p>
      <w:pPr>
        <w:jc w:val="left"/>
      </w:pPr>
      <w:r>
        <w:t>Aufgeschrieben von Luise Falkenberg am 8. Juli 2026, direkt nach dem Gespräch, Küche Falkensee, 16:40 Uhr.</w:t>
      </w:r>
    </w:p>
    <w:p>
      <w:pPr>
        <w:pStyle w:val="Heading2"/>
      </w:pPr>
      <w:r>
        <w:rPr>
          <w:rFonts w:ascii="Times New Roman" w:hAnsi="Times New Roman"/>
        </w:rPr>
        <w:t>1 Anlass und Gesprächspartner</w:t>
      </w:r>
    </w:p>
    <w:p>
      <w:pPr>
        <w:jc w:val="left"/>
      </w:pPr>
      <w:r>
        <w:t>Rückruf der Künstlersozialkasse auf meine E-Mail vom 2. Juni 2026 und die danach eingereichten Fragebogen-Unterlagen. Am Telefon war ein Mitarbeiter des Servicetelefons, Herr Wienken, Vorgangsnummer hat er mir genannt: KSK-A-2026-448 917. Das Gespräch dauerte etwa fünfzehn Minuten, ich habe zwischendurch mitgeschrieben, ein paar Zahlen könnten mir durchgerutscht sein.</w:t>
      </w:r>
    </w:p>
    <w:p>
      <w:pPr>
        <w:pStyle w:val="Heading2"/>
      </w:pPr>
      <w:r>
        <w:rPr>
          <w:rFonts w:ascii="Times New Roman" w:hAnsi="Times New Roman"/>
        </w:rPr>
        <w:t>2 Stand meines Antrags</w:t>
      </w:r>
    </w:p>
    <w:p>
      <w:pPr>
        <w:jc w:val="left"/>
      </w:pPr>
      <w:r>
        <w:t>Herr Wienken sagte, mein Fragebogen sei am 5. Juni 2026 eingegangen und liege in der Fachabteilung. Die aktuelle Bearbeitungszeit liege bei acht bis zwölf Wochen ab vollständigen Unterlagen. Es fehlen noch: drei Rechnungskopien aus verschiedenen Monaten mit erkennbarer künstlerischer Leistung, meine Projektliste mit Auftraggebern und Zeiträumen sowie eine Aufstellung, wie sich mein voraussichtliches Arbeitseinkommen 2026 auf Gestaltung, Workshops und den Vorlagen-Shop verteilt. Die Website-Screenshots und die Arbeitsproben sind angekommen und ausreichend.</w:t>
      </w:r>
    </w:p>
    <w:p>
      <w:pPr>
        <w:pStyle w:val="Heading2"/>
      </w:pPr>
      <w:r>
        <w:rPr>
          <w:rFonts w:ascii="Times New Roman" w:hAnsi="Times New Roman"/>
        </w:rPr>
        <w:t>3 Was er zu den Tätigkeiten gesagt hat</w:t>
      </w:r>
    </w:p>
    <w:p>
      <w:pPr>
        <w:jc w:val="left"/>
      </w:pPr>
      <w:r>
        <w:t>Zu den Workshops sagte Herr Wienken, entscheidend sei, was ich dort tue und für wen; Lehrtätigkeit im Bereich Design könne einbezogen werden, das prüfe die Fachabteilung anhand der Beschreibungen. Ich soll die zwei Workshop-Konzepte (Nordstern und der Volkshochschul-Termin im September) beilegen. Zum Vorlagen-Shop wollte er wissen, ob ich die Vorlagen selbst gestalte; ich habe ja gesagt. Er hat betont, dass am Telefon keine Zusage möglich ist und die Einstufung schriftlich kommt.</w:t>
      </w:r>
    </w:p>
    <w:p>
      <w:pPr>
        <w:pStyle w:val="Heading2"/>
      </w:pPr>
      <w:r>
        <w:rPr>
          <w:rFonts w:ascii="Times New Roman" w:hAnsi="Times New Roman"/>
        </w:rPr>
        <w:t>4 Meine offenen Punkte</w:t>
      </w:r>
    </w:p>
    <w:p>
      <w:pPr>
        <w:jc w:val="left"/>
      </w:pPr>
      <w:r>
        <w:t>Die Einkommensaufstellung muss ich erst bauen, meine Schätzung aus dem ELSTER-Fragebogen passt nicht eins zu eins, weil Waldglas seit Mai deutlich mehr geworden ist. Nachreichen soll ich alles gesammelt per Post oder über das Kontaktformular, Vorgangsnummer draufschreiben. Erledigen bis Ende nächster Woche, sonst verlängert sich die Wartezeit weiter.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