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Rechnung</w:t>
      </w:r>
    </w:p>
    <w:p>
      <w:pPr>
        <w:jc w:val="left"/>
      </w:pPr>
      <w:r>
        <w:t>Ambulanter Pflegedienst Porta Nigra GmbH · Matthiasstraße 44 · 54290 Trier</w:t>
      </w:r>
    </w:p>
    <w:p>
      <w:pPr>
        <w:jc w:val="left"/>
      </w:pPr>
      <w:r>
        <w:t>Telefon 0651 40 88 12 · Geschäftsführerin Iris Hennen</w:t>
      </w:r>
    </w:p>
    <w:p>
      <w:pPr>
        <w:jc w:val="left"/>
      </w:pPr>
      <w:r>
        <w:t>Frau Mara Birk, Im Speyer 19, 54294 Trier — für Herrn Anton Birk, Eurener Straße 204, 54294 Trier</w:t>
      </w:r>
    </w:p>
    <w:p>
      <w:pPr>
        <w:jc w:val="left"/>
      </w:pPr>
      <w:r>
        <w:t>Rechnungsnummer PN-R-26-1088 · Kundennummer 18442 · Bezug: Kostenvoranschlag PN-26-771 vom 28. Juni 2026 · Rechnungsdatum 6. Juli 2026</w:t>
      </w:r>
    </w:p>
    <w:p>
      <w:pPr>
        <w:pStyle w:val="Heading2"/>
      </w:pPr>
      <w:r>
        <w:rPr>
          <w:rFonts w:ascii="Times New Roman" w:hAnsi="Times New Roman"/>
        </w:rPr>
        <w:t>1 Abrechnungszeitraum und Leistungen</w:t>
      </w:r>
    </w:p>
    <w:p>
      <w:pPr>
        <w:jc w:val="left"/>
      </w:pPr>
      <w:r>
        <w:t>Wir berechnen die in der Zeit vom 1. Juli 2026 bis zum 5. Juli 2026 erbrachte Nachtbereitschaft in der Wohnung Eurener Straße 204, jeweils von 21:30 Uhr bis 06:30 Uhr. Die Einsätze wurden im Dienstbuch dokumentiert. In der Nacht vom 3. auf den 4. Juli 2026 hat Herr Birk nach dem Dienstbucheintrag um 01:37 Uhr die Wohnung in Richtung Kellertür verlassen wollen und wurde von der Betreuungskraft zurückbegleitet; besondere Vorkommnisse der übrigen Nächte sind im beigefügten Nachtprotokoll vermerkt.</w:t>
      </w:r>
    </w:p>
    <w:p>
      <w:pPr>
        <w:pStyle w:val="Heading2"/>
      </w:pPr>
      <w:r>
        <w:rPr>
          <w:rFonts w:ascii="Times New Roman" w:hAnsi="Times New Roman"/>
        </w:rPr>
        <w:t>2 Rechnungspositionen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Position</w:t>
            </w:r>
          </w:p>
        </w:tc>
        <w:tc>
          <w:tcPr>
            <w:tcW w:type="dxa" w:w="1814"/>
          </w:tcPr>
          <w:p>
            <w:r>
              <w:rPr>
                <w:rFonts w:ascii="Times New Roman" w:hAnsi="Times New Roman"/>
                <w:b/>
                <w:sz w:val="20"/>
              </w:rPr>
              <w:t>Datum der Nächte</w:t>
            </w:r>
          </w:p>
        </w:tc>
        <w:tc>
          <w:tcPr>
            <w:tcW w:type="dxa" w:w="1814"/>
          </w:tcPr>
          <w:p>
            <w:r>
              <w:rPr>
                <w:rFonts w:ascii="Times New Roman" w:hAnsi="Times New Roman"/>
                <w:b/>
                <w:sz w:val="20"/>
              </w:rPr>
              <w:t>Menge</w:t>
            </w:r>
          </w:p>
        </w:tc>
        <w:tc>
          <w:tcPr>
            <w:tcW w:type="dxa" w:w="1814"/>
          </w:tcPr>
          <w:p>
            <w:r>
              <w:rPr>
                <w:rFonts w:ascii="Times New Roman" w:hAnsi="Times New Roman"/>
                <w:b/>
                <w:sz w:val="20"/>
              </w:rPr>
              <w:t>Einzelpreis</w:t>
            </w:r>
          </w:p>
        </w:tc>
        <w:tc>
          <w:tcPr>
            <w:tcW w:type="dxa" w:w="1814"/>
          </w:tcPr>
          <w:p>
            <w:r>
              <w:rPr>
                <w:rFonts w:ascii="Times New Roman" w:hAnsi="Times New Roman"/>
                <w:b/>
                <w:sz w:val="20"/>
              </w:rPr>
              <w:t>Betrag</w:t>
            </w:r>
          </w:p>
        </w:tc>
      </w:tr>
      <w:tr>
        <w:tc>
          <w:tcPr>
            <w:tcW w:type="dxa" w:w="1814"/>
          </w:tcPr>
          <w:p>
            <w:r>
              <w:rPr>
                <w:rFonts w:ascii="Times New Roman" w:hAnsi="Times New Roman"/>
                <w:sz w:val="20"/>
              </w:rPr>
              <w:t>Nachtbereitschaft Pflegefachkraft, 9 Stunden</w:t>
            </w:r>
          </w:p>
        </w:tc>
        <w:tc>
          <w:tcPr>
            <w:tcW w:type="dxa" w:w="1814"/>
          </w:tcPr>
          <w:p>
            <w:r>
              <w:rPr>
                <w:rFonts w:ascii="Times New Roman" w:hAnsi="Times New Roman"/>
                <w:sz w:val="20"/>
              </w:rPr>
              <w:t>02.07.</w:t>
            </w:r>
          </w:p>
        </w:tc>
        <w:tc>
          <w:tcPr>
            <w:tcW w:type="dxa" w:w="1814"/>
          </w:tcPr>
          <w:p>
            <w:r>
              <w:rPr>
                <w:rFonts w:ascii="Times New Roman" w:hAnsi="Times New Roman"/>
                <w:sz w:val="20"/>
              </w:rPr>
              <w:t>1 Nacht</w:t>
            </w:r>
          </w:p>
        </w:tc>
        <w:tc>
          <w:tcPr>
            <w:tcW w:type="dxa" w:w="1814"/>
          </w:tcPr>
          <w:p>
            <w:r>
              <w:rPr>
                <w:rFonts w:ascii="Times New Roman" w:hAnsi="Times New Roman"/>
                <w:sz w:val="20"/>
              </w:rPr>
              <w:t>244,00 EUR</w:t>
            </w:r>
          </w:p>
        </w:tc>
        <w:tc>
          <w:tcPr>
            <w:tcW w:type="dxa" w:w="1814"/>
          </w:tcPr>
          <w:p>
            <w:r>
              <w:rPr>
                <w:rFonts w:ascii="Times New Roman" w:hAnsi="Times New Roman"/>
                <w:sz w:val="20"/>
              </w:rPr>
              <w:t>244,00 EUR</w:t>
            </w:r>
          </w:p>
        </w:tc>
      </w:tr>
      <w:tr>
        <w:tc>
          <w:tcPr>
            <w:tcW w:type="dxa" w:w="1814"/>
          </w:tcPr>
          <w:p>
            <w:r>
              <w:rPr>
                <w:rFonts w:ascii="Times New Roman" w:hAnsi="Times New Roman"/>
                <w:sz w:val="20"/>
              </w:rPr>
              <w:t>Nachtbereitschaft Betreuungskraft, 9 Stunden</w:t>
            </w:r>
          </w:p>
        </w:tc>
        <w:tc>
          <w:tcPr>
            <w:tcW w:type="dxa" w:w="1814"/>
          </w:tcPr>
          <w:p>
            <w:r>
              <w:rPr>
                <w:rFonts w:ascii="Times New Roman" w:hAnsi="Times New Roman"/>
                <w:sz w:val="20"/>
              </w:rPr>
              <w:t>01.07., 03.07., 04.07., 05.07.</w:t>
            </w:r>
          </w:p>
        </w:tc>
        <w:tc>
          <w:tcPr>
            <w:tcW w:type="dxa" w:w="1814"/>
          </w:tcPr>
          <w:p>
            <w:r>
              <w:rPr>
                <w:rFonts w:ascii="Times New Roman" w:hAnsi="Times New Roman"/>
                <w:sz w:val="20"/>
              </w:rPr>
              <w:t>4 Nächte</w:t>
            </w:r>
          </w:p>
        </w:tc>
        <w:tc>
          <w:tcPr>
            <w:tcW w:type="dxa" w:w="1814"/>
          </w:tcPr>
          <w:p>
            <w:r>
              <w:rPr>
                <w:rFonts w:ascii="Times New Roman" w:hAnsi="Times New Roman"/>
                <w:sz w:val="20"/>
              </w:rPr>
              <w:t>178,00 EUR</w:t>
            </w:r>
          </w:p>
        </w:tc>
        <w:tc>
          <w:tcPr>
            <w:tcW w:type="dxa" w:w="1814"/>
          </w:tcPr>
          <w:p>
            <w:r>
              <w:rPr>
                <w:rFonts w:ascii="Times New Roman" w:hAnsi="Times New Roman"/>
                <w:sz w:val="20"/>
              </w:rPr>
              <w:t>712,00 EUR</w:t>
            </w:r>
          </w:p>
        </w:tc>
      </w:tr>
      <w:tr>
        <w:tc>
          <w:tcPr>
            <w:tcW w:type="dxa" w:w="1814"/>
          </w:tcPr>
          <w:p>
            <w:r>
              <w:rPr>
                <w:rFonts w:ascii="Times New Roman" w:hAnsi="Times New Roman"/>
                <w:sz w:val="20"/>
              </w:rPr>
              <w:t>Wegepauschale</w:t>
            </w:r>
          </w:p>
        </w:tc>
        <w:tc>
          <w:tcPr>
            <w:tcW w:type="dxa" w:w="1814"/>
          </w:tcPr>
          <w:p>
            <w:r>
              <w:rPr>
                <w:rFonts w:ascii="Times New Roman" w:hAnsi="Times New Roman"/>
                <w:sz w:val="20"/>
              </w:rPr>
              <w:t>01.07. bis 05.07.</w:t>
            </w:r>
          </w:p>
        </w:tc>
        <w:tc>
          <w:tcPr>
            <w:tcW w:type="dxa" w:w="1814"/>
          </w:tcPr>
          <w:p>
            <w:r>
              <w:rPr>
                <w:rFonts w:ascii="Times New Roman" w:hAnsi="Times New Roman"/>
                <w:sz w:val="20"/>
              </w:rPr>
              <w:t>5 Einsätze</w:t>
            </w:r>
          </w:p>
        </w:tc>
        <w:tc>
          <w:tcPr>
            <w:tcW w:type="dxa" w:w="1814"/>
          </w:tcPr>
          <w:p>
            <w:r>
              <w:rPr>
                <w:rFonts w:ascii="Times New Roman" w:hAnsi="Times New Roman"/>
                <w:sz w:val="20"/>
              </w:rPr>
              <w:t>8,50 EUR</w:t>
            </w:r>
          </w:p>
        </w:tc>
        <w:tc>
          <w:tcPr>
            <w:tcW w:type="dxa" w:w="1814"/>
          </w:tcPr>
          <w:p>
            <w:r>
              <w:rPr>
                <w:rFonts w:ascii="Times New Roman" w:hAnsi="Times New Roman"/>
                <w:sz w:val="20"/>
              </w:rPr>
              <w:t>42,50 EUR</w:t>
            </w:r>
          </w:p>
        </w:tc>
      </w:tr>
      <w:tr>
        <w:tc>
          <w:tcPr>
            <w:tcW w:type="dxa" w:w="1814"/>
          </w:tcPr>
          <w:p>
            <w:r>
              <w:rPr>
                <w:rFonts w:ascii="Times New Roman" w:hAnsi="Times New Roman"/>
                <w:sz w:val="20"/>
              </w:rPr>
              <w:t>Wochenendzuschlag</w:t>
            </w:r>
          </w:p>
        </w:tc>
        <w:tc>
          <w:tcPr>
            <w:tcW w:type="dxa" w:w="1814"/>
          </w:tcPr>
          <w:p>
            <w:r>
              <w:rPr>
                <w:rFonts w:ascii="Times New Roman" w:hAnsi="Times New Roman"/>
                <w:sz w:val="20"/>
              </w:rPr>
              <w:t>03.07., 04.07.</w:t>
            </w:r>
          </w:p>
        </w:tc>
        <w:tc>
          <w:tcPr>
            <w:tcW w:type="dxa" w:w="1814"/>
          </w:tcPr>
          <w:p>
            <w:r>
              <w:rPr>
                <w:rFonts w:ascii="Times New Roman" w:hAnsi="Times New Roman"/>
                <w:sz w:val="20"/>
              </w:rPr>
              <w:t>2 Nächte</w:t>
            </w:r>
          </w:p>
        </w:tc>
        <w:tc>
          <w:tcPr>
            <w:tcW w:type="dxa" w:w="1814"/>
          </w:tcPr>
          <w:p>
            <w:r>
              <w:rPr>
                <w:rFonts w:ascii="Times New Roman" w:hAnsi="Times New Roman"/>
                <w:sz w:val="20"/>
              </w:rPr>
              <w:t>18,00 EUR</w:t>
            </w:r>
          </w:p>
        </w:tc>
        <w:tc>
          <w:tcPr>
            <w:tcW w:type="dxa" w:w="1814"/>
          </w:tcPr>
          <w:p>
            <w:r>
              <w:rPr>
                <w:rFonts w:ascii="Times New Roman" w:hAnsi="Times New Roman"/>
                <w:sz w:val="20"/>
              </w:rPr>
              <w:t>36,00 EUR</w:t>
            </w:r>
          </w:p>
        </w:tc>
      </w:tr>
      <w:tr>
        <w:tc>
          <w:tcPr>
            <w:tcW w:type="dxa" w:w="1814"/>
          </w:tcPr>
          <w:p>
            <w:r>
              <w:rPr>
                <w:rFonts w:ascii="Times New Roman" w:hAnsi="Times New Roman"/>
                <w:sz w:val="20"/>
              </w:rPr>
              <w:t>Rechnungsbetrag</w:t>
            </w:r>
          </w:p>
        </w:tc>
        <w:tc>
          <w:tcPr>
            <w:tcW w:type="dxa" w:w="1814"/>
          </w:tcPr>
          <w:p/>
        </w:tc>
        <w:tc>
          <w:tcPr>
            <w:tcW w:type="dxa" w:w="1814"/>
          </w:tcPr>
          <w:p/>
        </w:tc>
        <w:tc>
          <w:tcPr>
            <w:tcW w:type="dxa" w:w="1814"/>
          </w:tcPr>
          <w:p/>
        </w:tc>
        <w:tc>
          <w:tcPr>
            <w:tcW w:type="dxa" w:w="1814"/>
          </w:tcPr>
          <w:p>
            <w:r>
              <w:rPr>
                <w:rFonts w:ascii="Times New Roman" w:hAnsi="Times New Roman"/>
                <w:sz w:val="20"/>
              </w:rPr>
              <w:t>1.034,50 EUR</w:t>
            </w:r>
          </w:p>
        </w:tc>
      </w:tr>
    </w:tbl>
    <w:p>
      <w:pPr>
        <w:jc w:val="left"/>
      </w:pPr>
      <w:r>
        <w:t>Die Leistungen sind nach Paragraf 4 Nummer 16 UStG umsatzsteuerfrei.</w:t>
      </w:r>
    </w:p>
    <w:p>
      <w:pPr>
        <w:pStyle w:val="Heading2"/>
      </w:pPr>
      <w:r>
        <w:rPr>
          <w:rFonts w:ascii="Times New Roman" w:hAnsi="Times New Roman"/>
        </w:rPr>
        <w:t>3 Zahlung</w:t>
      </w:r>
    </w:p>
    <w:p>
      <w:pPr>
        <w:jc w:val="left"/>
      </w:pPr>
      <w:r>
        <w:t>Bitte überweisen Sie den Rechnungsbetrag bis zum 20. Juli 2026 unter Angabe der Rechnungsnummer auf unser Konto bei der Sparkasse Trier, IBAN DE44 5855 0130 0002 7719 06. Eine Kostenübernahme durch die Pflegekasse ist mit dieser Rechnung nicht verbunden; wir stellen Ihnen auf Wunsch eine Aufstellung für die Einreichung bei der Knappschaft-Mosel Pflegekasse aus.</w:t>
      </w:r>
    </w:p>
    <w:p>
      <w:pPr>
        <w:jc w:val="left"/>
      </w:pPr>
      <w:r>
        <w:t>Iris Hennen</w:t>
      </w:r>
    </w:p>
    <w:p>
      <w:pPr>
        <w:jc w:val="left"/>
      </w:pPr>
      <w:r>
        <w:t>Geschäftsführerin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Ambulanter Pflegedienst Porta Nigra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Ambulanter Pflegedienst Porta Nigra GmbH</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