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Fehling &amp; Brede Rechtsanwälte, Wuppertal. Mandat Sowinski, LG Wuppertal 26 KLs 4/26. Vermerk Dr. Fehling, Diktat vom 3. Juli 2026, geschrieben von Frau Salazar.</w:t>
      </w:r>
    </w:p>
    <w:p>
      <w:pPr>
        <w:jc w:val="left"/>
      </w:pPr>
      <w:r>
        <w:t>Telefonat mit dem Mandanten am 3. Juli 2026, 17:40 bis 18:25 Uhr. Der Mandant rief aus dem Geschäft an, im Hintergrund zeitweise Kundenverkehr, das Gespräch wurde zweimal kurz unterbrochen.</w:t>
      </w:r>
    </w:p>
    <w:p>
      <w:pPr>
        <w:jc w:val="left"/>
      </w:pPr>
      <w:r>
        <w:t>1 Angaben des Mandanten</w:t>
      </w:r>
    </w:p>
    <w:p>
      <w:pPr>
        <w:jc w:val="left"/>
      </w:pPr>
      <w:r>
        <w:t>Der Mandant hat die Übersendung des Auswerteberichts vom 3. Juni 2026 samt Chat-Auszug gelesen. Er erklärte dazu wörtlich sinngemäß: Die Nummer 0176 44219087 sei zwar auf ihn registriert, das Gerät habe aber in der fraglichen Zeit überwiegend in der Werkstatt gelegen und sei auch von seinem Aushilfsfahrer benutzt worden, dessen Namen er erst nicht nennen wollte, dann als "Rico" bezeichnete, Nachname angeblich unbekannt. Auf Vorhalt, dass im Chat vom 22. Oktober 2025 von einem Treffen am Freitagabend mit Barzahlung die Rede ist, erklärte der Mandant, an dem Abend sei er auf der Geburtstagsfeier seines Schwagers in Remscheid gewesen, dafür gebe es Fotos. Später im Gespräch sagte er, er sei an dem Abend "vielleicht kurz weg gewesen, um Zigaretten zu holen". Auf die Frage nach dem Kontakt in Stettin antwortete er ausweichend, das sei ein alter Bekannter aus dem Teilehandel, mit dem er "schon ewig nichts mehr gemacht" habe.</w:t>
      </w:r>
    </w:p>
    <w:p>
      <w:pPr>
        <w:jc w:val="left"/>
      </w:pPr>
      <w:r>
        <w:t>2 Weitere Punkte</w:t>
      </w:r>
    </w:p>
    <w:p>
      <w:pPr>
        <w:jc w:val="left"/>
      </w:pPr>
      <w:r>
        <w:t>Der Mandant berichtete, die Plattform Teilemarkt24 habe sein Verkäuferkonto am 29. Juni 2026 gesperrt und die Auszahlung von 3.184,50 Euro einbehalten; das Schreiben der Plattform bringt er zum nächsten Besprechungstermin mit. Seine Frau habe außerdem einen Anruf eines Journalisten der Lokalredaktion erhalten und nichts gesagt. Der Mandant fragte, ob er zu den neuen Terminen im September erscheinen müsse und ob "die Sache mit der Absprache noch gilt". Ich habe die Verfahrenslage beschrieben und auf die noch ausstehende Entscheidung der Kammer verwiesen; Einzelheiten der Beratung sind gesondert vermerkt.</w:t>
      </w:r>
    </w:p>
    <w:p>
      <w:pPr>
        <w:jc w:val="left"/>
      </w:pPr>
      <w:r>
        <w:t>3 Veranlassung</w:t>
      </w:r>
    </w:p>
    <w:p>
      <w:pPr>
        <w:jc w:val="left"/>
      </w:pPr>
      <w:r>
        <w:t>Besprechungstermin in der Kanzlei am 14. Juli 2026, 10:00 Uhr, vereinbart. Der Mandant bringt mit: Schreiben der Plattform, Fotos und Gästeliste der Feier vom 24. Oktober 2025, Unterlagen zum Aushilfsfahrer. Bei der Geschäftsstelle der Kammer ist nach dem Stand der angekündigten Neuterminierung zu fragen; etwaige Fristen aus der erwarteten Verfügung sind sofort in den Fristenkalender zu übernehmen. Wiedervorlage 13. Juli 2026.</w:t>
      </w:r>
    </w:p>
    <w:p>
      <w:pPr>
        <w:jc w:val="left"/>
      </w:pPr>
      <w:r>
        <w:t>gez. Dr. Fehling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Fehling &amp; Brede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FEHLING &amp; BREDE RECHTSANWÄLTE</w:t>
    </w:r>
  </w:p>
  <w:p>
    <w:pPr>
      <w:jc w:val="left"/>
      <w:pBdr>
        <w:bottom w:val="single" w:sz="8" w:space="2" w:color="7B2D3B"/>
      </w:pBdr>
    </w:pPr>
    <w:r>
      <w:rPr>
        <w:rFonts w:ascii="Times New Roman" w:hAnsi="Times New Roman"/>
        <w:color w:val="6B6B66"/>
        <w:sz w:val="16"/>
      </w:rPr>
      <w:t>Wuppertal. Mandat Sowinski, LG Wuppertal 26 KLs 4/26. Vermerk Dr. Fehling, Diktat vom 3. Juli 2026, geschrieben von Frau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