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Abschrift eines handschriftlichen Notizzettels</w:t>
      </w:r>
    </w:p>
    <w:p>
      <w:pPr>
        <w:jc w:val="left"/>
      </w:pPr>
      <w:r>
        <w:t>Vorgangsgruppe VZ 26/ABO. Abschrift gefertigt am 20. Juli 2026 durch Nele Eßwein. Das Original ist ein beidseitig beschriebener Zettel im Format DIN A5 aus der Besprechung vom 17. Juli 2026, Handschrift Selma Brüggemann, teilweise mit Bleistift, zwei Stellen durchgestrichen und nicht mehr lesbar. Die Abschrift gibt den Zettel wörtlich wieder, Auslassungen sind mit eckigen Klammern gekennzeichnet.</w:t>
      </w:r>
    </w:p>
    <w:p>
      <w:pPr>
        <w:jc w:val="left"/>
      </w:pPr>
      <w:r>
        <w:t>Vorderseite: Besprechung 17.7., 9 Uhr, mit Dr. Mäßler. Stand Pool: 6 Datensätze in der Tabelle, dazu 5 neue Hotline-Meldungen aus der Rückrufliste Juli, davon 4 FitPlan, 1 MealSprint. Frau Lindwurm bringt am Donnerstag ihre Kontoauszüge vorbei, beide Abbuchungen am selben Tag entdeckt. Herr Wiechert schickt per Post, noch nicht eingegangen. Anbieter nennt selbst 184 Vorgänge mit Template 3.8, Zahl stammt aus dem Schreiben vom 11.7., Herkunft der Zählung dort nicht erläutert.</w:t>
      </w:r>
    </w:p>
    <w:p>
      <w:pPr>
        <w:jc w:val="left"/>
      </w:pPr>
      <w:r>
        <w:t>Rückseite: Maaß hat am 16.7. abends zwei Screenshots geschickt, Tickets FIT-2311 und FIT-2340, Daten passen zu seiner Telefonaussage vom 8.7. Er will eine schriftliche Vertraulichkeitszusage, bevor er mehr schickt, Entwurf liegt bei Dr. Mäßler. PayPort führt das Chargeback zur ersten Zahlung weiter, Gutschrift der zweiten Zahlung laut Mail vom 14.7. angewiesen, Frau Jäkel hat den Eingang noch nicht bestätigt. Frau Jäkel besitzt das Telefon vom 18. März noch, App seither nicht neu installiert, das hat sie am 15.7. telefonisch bestätigt. [zwei Zeilen durchgestrichen, unleserlich] Unten rechts in anderer Tinte: Ordner ABO-851 bis ABO-855 angelegt, Belege jeweils noch unvollständig.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