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Entscheidungsvorlage</w:t>
      </w:r>
    </w:p>
    <w:p>
      <w:pPr>
        <w:pStyle w:val="Heading2"/>
      </w:pPr>
      <w:r>
        <w:rPr>
          <w:rFonts w:ascii="Times New Roman" w:hAnsi="Times New Roman"/>
        </w:rPr>
        <w:t>Gegenstand</w:t>
      </w:r>
    </w:p>
    <w:p>
      <w:pPr>
        <w:jc w:val="left"/>
      </w:pPr>
      <w:r>
        <w:t>Dieses Aktenstück führt die Unterlagen des Vorhabens Märkische Reserve Süd — Batteriespeicherpark auf dem früheren Logistik- und Kiesumschlagplatz südlich von Ludwigsfelde mit 1,8 GW Anschlussleistung und 9,6 GWh Speicherkapazität — zu einer entscheidungsfähigen Prüfungsfassung zusammen. Die Akte ist in ihrer bisherigen Form fragmentarisch: Die Netzanschlussnotiz nennt nur ein Studienangebot, der Kosten- und Zeitplan liegt als Tabelle mit fünf Positionen vor, der Projektteam-Chat vom Juni 2026 dokumentiert Widersprüche in Halbsätzen, und der anwaltliche Memo-Entwurf bricht bei den nächsten Schritten ab. Dieses Langgutachten schließt diese Lücke und bereitet die Gate-2-Entscheidung der Geschäftsführung vor.</w:t>
      </w:r>
    </w:p>
    <w:p>
      <w:pPr>
        <w:pStyle w:val="Heading2"/>
      </w:pPr>
      <w:r>
        <w:rPr>
          <w:rFonts w:ascii="Times New Roman" w:hAnsi="Times New Roman"/>
        </w:rPr>
        <w:t>Prüfungsprogramm</w:t>
      </w:r>
    </w:p>
    <w:p>
      <w:pPr>
        <w:jc w:val="left"/>
      </w:pPr>
      <w:r>
        <w:t>Der Fall wird entlang folgender Themen bearbeitet: Bauleitplanung für das vorgeschlagene Sondergebiet Energieinfrastruktur, Netzanschluss an die bestehende 380-kV-Trasse, Brandschutz und Havarie für 1.920 Batteriecontainer, Cyber- und KRITIS-Einordnung der Leitwarte in Berlin mit Fernwartung aus Rotterdam, Nachbarschaftskonflikte mit dem Wohngebiet in 620 m Entfernung und dem südlich gelegenen Reiterhof, die acht Dieselgeneratoren samt Emissions- und Betriebszeitenfragen sowie die Koordination von Gemeinde, Bauaufsicht, Kreisbrandmeister, Übertragungsnetzbetreiber und Konsortialbanken. Für jedes Thema wird getrennt gefragt, ob es bereits entscheidungsreif ist, ob weitere Tatsachen fehlen oder ob zunächst nur ein Risikovermerk möglich ist.</w:t>
      </w:r>
    </w:p>
    <w:p>
      <w:pPr>
        <w:pStyle w:val="Heading3"/>
      </w:pPr>
      <w:r>
        <w:rPr>
          <w:rFonts w:ascii="Times New Roman" w:hAnsi="Times New Roman"/>
        </w:rPr>
        <w:t>1. Tatsachenbasis</w:t>
      </w:r>
    </w:p>
    <w:p>
      <w:pPr>
        <w:jc w:val="left"/>
      </w:pPr>
      <w:r>
        <w:t>Die Akte enthält mehrere Beweistypen. Verwertbar sind die Beschlussvorlage der Geschäftsführung zur Gate-1-Freigabe über 18,4 Mio. EUR, die E-Mail von Theresia Aldinger vom 02.06.2026 an das Projektteam, das Protokoll des Feuerwehr-Workshops mit Kreisbrandmeister, Bauaufsicht, Hersteller und Versicherer, die Redline-Notiz zum Bank-Term-Sheet sowie der tabellarische Kosten- und Zeitplan mit Beträgen und Fälligkeiten. Nur eingeschränkt verwertbar sind der Projektteam-Chat mit Kurznachrichten zwischen 06:42 Uhr und 07:30 Uhr, die Herstellerpräsentation mit der Formulierung 'Schwarzstart Berlin' und die Datenraumstände ohne Versionsdatum. Deshalb ist jede rechtliche Schlussfolgerung in diesem Gutachten mit einem Beweistyp verknüpft.</w:t>
      </w:r>
    </w:p>
    <w:p>
      <w:pPr>
        <w:jc w:val="left"/>
      </w:pPr>
      <w:r>
        <w:t>Der wichtigste Fehler wäre, den Fall schon deshalb als geklärt anzusehen, weil ein Dokument einen prägnanten Titel trägt. Die 'Netzverträglichkeitsstudie' ist bislang nur ein Angebot des Übertragungsnetzbetreibers über 875.000 EUR mit Fälligkeit zum 31.07.2026, keine Anschlusszusage. Die Garantiezusage des Herstellers nennt 92 % Verfügbarkeit, klammert aber Wartungsfenster, Netzbetreiberabrufe und sicherheitsbedingte Abschaltungen ausdrücklich aus. Der Entwurf der Gemeinderatsvorlage behauptet, der Speicher sichere die Stromversorgung Berlins für mehrere Tage — eine Aussage, die die Akte nicht deckt. Deshalb wird zunächst eine Beweismatrix geführt.</w:t>
      </w:r>
    </w:p>
    <w:p>
      <w:pPr>
        <w:pStyle w:val="Heading3"/>
      </w:pPr>
      <w:r>
        <w:rPr>
          <w:rFonts w:ascii="Times New Roman" w:hAnsi="Times New Roman"/>
        </w:rPr>
        <w:t>2. Rechtliche Hauptfrage</w:t>
      </w:r>
    </w:p>
    <w:p>
      <w:pPr>
        <w:jc w:val="left"/>
      </w:pPr>
      <w:r>
        <w:t>Die Hauptfrage ist nicht, ob ein Batteriespeicher mit 9,6 GWh wirtschaftlich sinnvoll wäre. Die Hauptfrage lautet, ob die Freigabe für Gate 2 auf der vorhandenen Tatsachengrundlage rechtlich trägt. Dafür müssen Zuständigkeit (Gemeinde für den Bebauungsplan, Bauaufsicht für den Sonderbau, Übertragungsnetzbetreiber für den 380-kV-Anschluss, Immissionsschutzbehörde für die Dieselgeneratoren), Form, Fristen (Ministeriumstermin am 17.06.2026, die von der Gemeinde erbetene Unterlage zu Brandschutz, Verkehr und Gewerbesteuer, Fälligkeit der Grundstückssicherung zum 01.09.2026), materielle Voraussetzungen, Bewertungsspielräume, Dokumentation und Rechtsfolge einzeln geprüft werden.</w:t>
      </w:r>
    </w:p>
    <w:p>
      <w:pPr>
        <w:jc w:val="left"/>
      </w:pPr>
      <w:r>
        <w:t>Bei der Prüfung darf die Bearbeitung nicht in eine bloße Checkliste abrutschen, weil die Teilfragen dieser Akte voneinander abhängen. Das Containerlayout ohne die vom Versicherer geforderten Blockabstände entwertet das Brandschutzkonzept, und ohne Sonderbau-Sicherheitskonzept sieht die Feuerwehr keine belastbare Bauantragslage. Die Fernwartung aus Rotterdam entscheidet über den KRITIS-Scope und damit über das Cyber Undertaking im Bank-Term-Sheet. Und die politisch attraktive Aussage, Berlin könne drei Tage weiteratmen, kann im Beteiligungsverfahren Einwendungen provozieren, die das gesamte Planverfahren belasten.</w:t>
      </w:r>
    </w:p>
    <w:p>
      <w:pPr>
        <w:pStyle w:val="Heading3"/>
      </w:pPr>
      <w:r>
        <w:rPr>
          <w:rFonts w:ascii="Times New Roman" w:hAnsi="Times New Roman"/>
        </w:rPr>
        <w:t>3. Subsumtion nach Aktenstand</w:t>
      </w:r>
    </w:p>
    <w:p>
      <w:pPr>
        <w:jc w:val="left"/>
      </w:pPr>
      <w:r>
        <w:t>Nach dem derzeitigen Stand bestehen mindestens zwei rechtliche Angriffspunkte: das fehlende Bauplanungsrecht — der Flächennutzungsplan weist Gewerbe, Logistik und teilweise Landwirtschaft aus, ein Bebauungsplan existiert nicht — und der Netzanschluss, der nur als Vorstudie vorliegt. Zugleich ist die Verteidigungslinie nicht fertig. Die stärkste Position ergibt sich aus den Unterlagen, die vor dem öffentlichen Konflikt entstanden sind: Standort- und Flächenvermerk, Beschlussvorlage Gate 1 und Kostenplan. Schwächer sind Texte, die erkennbar erst nach der Presseanfrage zur Gefährlichkeit von 'fast zweitausend Batteriecontainern neben dem Reiterhof' formuliert wurden.</w:t>
      </w:r>
    </w:p>
    <w:p>
      <w:pPr>
        <w:jc w:val="left"/>
      </w:pPr>
      <w:r>
        <w:t>Die Bearbeitung muss deshalb drei Ebenen unterscheiden:</w:t>
      </w:r>
    </w:p>
    <w:p>
      <w:pPr>
        <w:pStyle w:val="ListBullet"/>
      </w:pPr>
      <w:r>
        <w:t>sichere Tatsachen: Flurstücke 144/3, 144/8 und 145/2 südlich von Ludwigsfelde, Lage an der bestehenden 380-kV-Trasse, Gate-1-Budget von 18,4 Mio. EUR, Grundstückssicherung über 4,2 Mio. EUR mit Fälligkeit 01.09.2026, E-Mail vom 02.06.2026;</w:t>
      </w:r>
    </w:p>
    <w:p>
      <w:pPr>
        <w:pStyle w:val="ListBullet"/>
      </w:pPr>
      <w:r>
        <w:t>plausible, aber offene Tatsachen: verbindliche Zellchemie (die Präsentation nennt LFP, die technische Anlage zwei alternative Lieferanten), tatsächliches Derating oberhalb von +38 Grad Celsius, KRITIS-Einstufung der Berliner Leitwarte, Gewerbesteueraufkommen in den ersten Betriebsjahren;</w:t>
      </w:r>
    </w:p>
    <w:p>
      <w:pPr>
        <w:pStyle w:val="ListBullet"/>
      </w:pPr>
      <w:r>
        <w:t>bloße Bewertungen: 'Berlin kann drei Tage weiteratmen', 'Löschen ist im Regelfall nicht erforderlich', 'Remote Maintenance aus Rotterdam ist Standard', 'Umwelt machen wir später'.</w:t>
      </w:r>
    </w:p>
    <w:p>
      <w:pPr>
        <w:jc w:val="left"/>
      </w:pPr>
      <w:r>
        <w:t>Nur die erste Ebene darf ohne Einschränkung in die Gemeindeunterlage, das Bank-DD-Paket oder die Bürgerkommunikation. Die zweite Ebene kann als offener Prüfstand mit Terminen dargestellt werden. Die dritte Ebene gehört in die interne Risikodiskussion der Geschäftsführung, nicht in Außenschreiben an Gemeinde, Presse oder Banken.</w:t>
      </w:r>
    </w:p>
    <w:p>
      <w:pPr>
        <w:pStyle w:val="Heading3"/>
      </w:pPr>
      <w:r>
        <w:rPr>
          <w:rFonts w:ascii="Times New Roman" w:hAnsi="Times New Roman"/>
        </w:rPr>
        <w:t>4. Gegenposition</w:t>
      </w:r>
    </w:p>
    <w:p>
      <w:pPr>
        <w:jc w:val="left"/>
      </w:pPr>
      <w:r>
        <w:t>Die Gegenseite — Einwender vom Reiterhof, die Bürgerinitiative mit dem noch unbelegten Kiebitz-Hinweis, kritische Gemeindevertreter und im Zweifel auch die Konsortialbanken — wird voraussichtlich nicht nur einen Einzelfehler behaupten, sondern ein Organisationsdefizit: widersprüchliche Datenraumangaben zu Zellchemie, Temperaturverhalten, Remote Access und Ersatzteilverfügbarkeit, ein auf Zuruf verschobenes Cyber- und Umweltprogramm und eine Kommunikation, die mehr verspricht, als die Technik trägt. Diese Gegenposition ist ernst zu nehmen, weil sie weniger am einzelnen Dokument als an der Gesamterscheinung der Akte ansetzt.</w:t>
      </w:r>
    </w:p>
    <w:p>
      <w:pPr>
        <w:jc w:val="left"/>
      </w:pPr>
      <w:r>
        <w:t>Dagegen hilft keine schroffe Abwehrformel. Besser ist eine nüchterne Darstellung: Belegt sind Standort, Trassennähe, geplante Anschlussleistung und Speicherkapazität. Geprüft werden Bebauungsplan, Sonderbau-Einordnung, Emissionen und Betriebsstunden der acht Dieselgeneratoren sowie der KRITIS-Scope. Korrigiert wurden die Drei-Tage-Formulierung und die Löschwasserfolie mit dem Dorfteich. Bestritten wird die pauschale Behauptung einer 'Stromverseuchung'. Vorbehalten bleibt die abschließende Bewertung von Netzentgelten, Umlagen und Erlösmodell.</w:t>
      </w:r>
    </w:p>
    <w:p>
      <w:pPr>
        <w:pStyle w:val="Heading3"/>
      </w:pPr>
      <w:r>
        <w:rPr>
          <w:rFonts w:ascii="Times New Roman" w:hAnsi="Times New Roman"/>
        </w:rPr>
        <w:t>5. Handlungsempfehlung</w:t>
      </w:r>
    </w:p>
    <w:p>
      <w:pPr>
        <w:jc w:val="left"/>
      </w:pPr>
      <w:r>
        <w:t>Empfohlen wird folgender Ablauf:</w:t>
      </w:r>
    </w:p>
    <w:p>
      <w:pPr>
        <w:pStyle w:val="ListNumber"/>
      </w:pPr>
      <w:r>
        <w:t>Verbindliche Netzanschlussanfrage beim Übertragungsnetzbetreiber stellen und die Netzverträglichkeitsstudie über 875.000 EUR fristgerecht zum 31.07.2026 beauftragen.</w:t>
      </w:r>
    </w:p>
    <w:p>
      <w:pPr>
        <w:pStyle w:val="ListNumber"/>
      </w:pPr>
      <w:r>
        <w:t>Fristenkalender mit Verantwortlichen nach dem Risikoregister führen: Netzanschluss bei Nils, Brandschutz und Dieselgeneratoren bei Malte, Cyber und KRITIS bei Soraya, Kommunikation bei Theresia.</w:t>
      </w:r>
    </w:p>
    <w:p>
      <w:pPr>
        <w:pStyle w:val="ListNumber"/>
      </w:pPr>
      <w:r>
        <w:t>Die von der Gemeinde erbetene Unterlage zu Brandschutz, Verkehr und Gewerbesteuer vorbereiten; sie bestätigt den Sachstand und strukturiert die offenen Prüfpunkte, ohne Zusagen vorwegzunehmen.</w:t>
      </w:r>
    </w:p>
    <w:p>
      <w:pPr>
        <w:pStyle w:val="ListNumber"/>
      </w:pPr>
      <w:r>
        <w:t>Intern ein Langmemo mit Risikoampel fortschreiben: Netzanschluss und Brandschutz/Havarie rot; KRITIS-Scope, Kommunikation und Dieselgenehmigung orange.</w:t>
      </w:r>
    </w:p>
    <w:p>
      <w:pPr>
        <w:pStyle w:val="ListNumber"/>
      </w:pPr>
      <w:r>
        <w:t>Nach Eingang von Battery-Management-System-Manual, Zellchemie- und Brandlastnachweis, Löschmittelverträglichkeit und Havariebeckenberechnung die endgültige Stellungnahme verfassen.</w:t>
      </w:r>
    </w:p>
    <w:p>
      <w:pPr>
        <w:pStyle w:val="ListNumber"/>
      </w:pPr>
      <w:r>
        <w:t>Gegenüber Ministerium, Gemeinde und Presse nur freigegebene Tatsachen verwenden: 1,8 GW Anschlussleistung, 9,6 GWh Kapazität, Systemdienstleistungs- und Resilienzfunktion — keine Drei-Tage-Alleinversorgung Berlins.</w:t>
      </w:r>
    </w:p>
    <w:p>
      <w:pPr>
        <w:pStyle w:val="Heading3"/>
      </w:pPr>
      <w:r>
        <w:rPr>
          <w:rFonts w:ascii="Times New Roman" w:hAnsi="Times New Roman"/>
        </w:rPr>
        <w:t>6. Entwurf einer Entscheidungsvorlage</w:t>
      </w:r>
    </w:p>
    <w:p>
      <w:pPr>
        <w:jc w:val="left"/>
      </w:pPr>
      <w:r>
        <w:t>Option A: defensive Minimalantwort an Gemeinde und Presse. Vorteil: geringe Selbstbindung, schnelle Erledigung vor dem Ministeriumstermin am 17.06.2026. Nachteil: wirkt ausweichend, nachdem die Feuerwehr erklärt hat, ohne Sicherheitskonzept gebe es keine belastbare Bauantragslage, und die lokale Zeitung bereits nach der Gefährlichkeit der Containeranlage neben dem Reiterhof fragt.</w:t>
      </w:r>
    </w:p>
    <w:p>
      <w:pPr>
        <w:jc w:val="left"/>
      </w:pPr>
      <w:r>
        <w:t>Option B: strukturierte Teiloffenlegung. Die gesicherten Eckdaten — Standort, Trassennähe, Anschlussleistung, Speicherkapazität, Verfahrensstand — werden offengelegt; die offenen Punkte (Netzanschlusszusage, Zellchemie, Löschwasserkonzept, KRITIS-Scope) werden als Prüfprogramm mit Terminen benannt. Vorteil: glaubwürdig gegenüber Gemeinde, Feuerwehr und Banken, ohne die Rechtsposition aufzugeben. Nachteil: benötigt saubere Abstimmung zwischen Projektleitung, Hersteller und den drei Gesellschaftern.</w:t>
      </w:r>
    </w:p>
    <w:p>
      <w:pPr>
        <w:jc w:val="left"/>
      </w:pPr>
      <w:r>
        <w:t>Option C: umfassende Stellungnahme einschließlich Erlösmodell und Technik. Vorteil: könnte die geforderte Bürgerversammlung und die Bank-DD zugleich bedienen. Nachteil: hohes Risiko, solange der Datenraum bei Zellchemie, Temperaturverhalten, Remote Access und Ersatzteilzusagen widersprüchlich ist.</w:t>
      </w:r>
    </w:p>
    <w:p>
      <w:pPr>
        <w:jc w:val="left"/>
      </w:pPr>
      <w:r>
        <w:t>Derzeit ist Option B vorzugswürdig. Sie erlaubt Kontrolle über die Darstellung der Systemfunktion, vermeidet Festlegungen auf unbelegte Herstellerangaben und zwingt die Akte vor Gate 2 in eine belastbare Ordnung.</w:t>
      </w:r>
    </w:p>
    <w:p>
      <w:pPr>
        <w:pStyle w:val="Heading2"/>
      </w:pPr>
      <w:r>
        <w:rPr>
          <w:rFonts w:ascii="Times New Roman" w:hAnsi="Times New Roman"/>
        </w:rPr>
        <w:t>Offene Nachforderungen</w:t>
      </w:r>
    </w:p>
    <w:p>
      <w:pPr>
        <w:pStyle w:val="ListBullet"/>
      </w:pPr>
      <w:r>
        <w:t>unterzeichnete Fassung der Grundstückssicherung über die Flurstücke 144/3, 144/8 und 145/2 mit Datum und Laufzeit;</w:t>
      </w:r>
    </w:p>
    <w:p>
      <w:pPr>
        <w:pStyle w:val="ListBullet"/>
      </w:pPr>
      <w:r>
        <w:t>Zugangsnachweis für die der Gemeinde zugesagte Unterlage zu Brandschutz, Verkehr und Gewerbesteuer;</w:t>
      </w:r>
    </w:p>
    <w:p>
      <w:pPr>
        <w:pStyle w:val="ListBullet"/>
      </w:pPr>
      <w:r>
        <w:t>Liste der entscheidungsbefugten Personen bei der Märkische Reserve Süd GmbH und den Gesellschaftern Brandenburger Infrastrukturholding GmbH, Stadtwerke Spreebogen AG und North Sea Storage Fund SCSp;</w:t>
      </w:r>
    </w:p>
    <w:p>
      <w:pPr>
        <w:pStyle w:val="ListBullet"/>
      </w:pPr>
      <w:r>
        <w:t>interne Freigabehistorie der Präsentationsfolie 'Schwarzstart Berlin' und der Drei-Tage-Aussage zur Berliner Versorgung;</w:t>
      </w:r>
    </w:p>
    <w:p>
      <w:pPr>
        <w:pStyle w:val="ListBullet"/>
      </w:pPr>
      <w:r>
        <w:t>Zahlenbasis des Erlösmodells aus Regelenergie, Intraday-Arbitrage und Redispatch-Nähe ohne politische Grundlast-Annahme;</w:t>
      </w:r>
    </w:p>
    <w:p>
      <w:pPr>
        <w:pStyle w:val="ListBullet"/>
      </w:pPr>
      <w:r>
        <w:t>endgültiges Battery-Management-System-Manual, Zellchemie- und Brandlastnachweis, Löschmittelverträglichkeit und Havariebeckenberechnung;</w:t>
      </w:r>
    </w:p>
    <w:p>
      <w:pPr>
        <w:pStyle w:val="ListBullet"/>
      </w:pPr>
      <w:r>
        <w:t>Nachweis, ob die Herstellerpräsentation durch die abweichende technische Anlage im Datenraum abgelöst wurde.</w:t>
      </w:r>
    </w:p>
    <w:p>
      <w:pPr>
        <w:pStyle w:val="Heading2"/>
      </w:pPr>
      <w:r>
        <w:rPr>
          <w:rFonts w:ascii="Times New Roman" w:hAnsi="Times New Roman"/>
        </w:rPr>
        <w:t>Ergebnis</w:t>
      </w:r>
    </w:p>
    <w:p>
      <w:pPr>
        <w:jc w:val="left"/>
      </w:pPr>
      <w:r>
        <w:t>Die Akte ist bearbeitbar, aber noch nicht entscheidungsreif für Gate 2. Ein juristisch guter nächster Schritt ist die knappe, kontrollierte Unterlage an die Gemeinde und parallel eine harte interne Beweisordnung: verbindliche Netzanschlussanfrage, Abarbeitung der Feuerwehr-Nachforderungen, Klärung des KRITIS-Scopes und Bereinigung der Datenraumwidersprüche. Erst danach sollte die endgültige rechtliche Bewertung an Geschäftsführung, Gesellschafter und Banken ausgegeben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