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Batteriespeicher Brandenburg/Berlin</w:t>
      </w:r>
    </w:p>
    <w:p>
      <w:pPr>
        <w:pStyle w:val="Heading2"/>
      </w:pPr>
      <w:r>
        <w:rPr>
          <w:rFonts w:ascii="Times New Roman" w:hAnsi="Times New Roman"/>
        </w:rPr>
        <w:t>Auftrag und Aktenlage</w:t>
      </w:r>
    </w:p>
    <w:p>
      <w:pPr>
        <w:jc w:val="left"/>
      </w:pPr>
      <w:r>
        <w:t>Dieses Aktenstück ist als zusammenhängendes Arbeitsgutachten für das Vorhaben Märkische Reserve Süd angelegt: einen Batteriespeicherpark mit 1.920 Containern, 480 Wechselrichtern, 42 Transformatorinseln und einem Umspannwerk 380/110 kV auf dem früheren Logistik- und Kiesumschlagplatz südlich von Ludwigsfelde, ausgelegt auf 1,8 GW Anschlussleistung und 9,6 GWh Speicherkapazität mit kommerziellem Betrieb ab dem vierten Quartal 2029. Es soll die rechtliche Prüfung so weit ausformulieren, dass die nächsten Schreiben an Gemeinde, Übertragungsnetzbetreiber und Konsortialbanken daraus unmittelbar entwickelt werden können. Der Kern liegt bei Bauleitplanung, Netzanschluss, Brand- und Löschwasserkonzept, Cyber- und KRITIS-Einordnung, Notstromkonzept und Anwohnerkonflikten; einschlägig sind insbesondere BauGB, Brandenburgische Bauordnung, BImSchG mit 44. BImSchV, AwSV, EnWG, EEG, das KRITIS- und IT-Sicherheitsrecht sowie die DSGVO.</w:t>
      </w:r>
    </w:p>
    <w:p>
      <w:pPr>
        <w:pStyle w:val="Heading2"/>
      </w:pPr>
      <w:r>
        <w:rPr>
          <w:rFonts w:ascii="Times New Roman" w:hAnsi="Times New Roman"/>
        </w:rPr>
        <w:t>Tatsächlicher Prüfrahmen</w:t>
      </w:r>
    </w:p>
    <w:p>
      <w:pPr>
        <w:jc w:val="left"/>
      </w:pPr>
      <w:r>
        <w:t>Die Akte zeigt mehrere typische Brüche. Das Technikblatt des Herstellers und der Kosten- und Zeitplan sind technisch und kaufmännisch formuliert, der Memo-Entwurf und die Term-Sheet-Redlines rechtlich. Die E-Mail von Theresia Aldinger vom 02.06.2026 wirkt eindeutig, dokumentiert aber nur eine Kommunikationsvorgabe, keine Beschlusslage; die 'Vorzusage' des Netzbetreibers ist keine Anschlusszusage, sondern das Angebot einer Netzverträglichkeitsstudie. Deshalb wird jedes Dokument mit drei Fragen gelesen: Welche Tatsache wird dadurch belegt? Welche Rechtsfolge soll daran geknüpft werden? Welche Gegenbehauptung — etwa der Feuerwehr, des Versicherers oder der Bürgerinitiative — ist realistisch?</w:t>
      </w:r>
    </w:p>
    <w:p>
      <w:pPr>
        <w:pStyle w:val="Heading2"/>
      </w:pPr>
      <w:r>
        <w:rPr>
          <w:rFonts w:ascii="Times New Roman" w:hAnsi="Times New Roman"/>
        </w:rPr>
        <w:t>Normprogramm</w:t>
      </w:r>
    </w:p>
    <w:p>
      <w:pPr>
        <w:jc w:val="left"/>
      </w:pPr>
      <w:r>
        <w:t>Die Prüfung beginnt mit der Zuständigkeit und der richtigen Rechtsnatur des Vorgangs. Baurechtlich ist zu klären, ob die Anlage im Außenbereich nach § 35 BauGB zulässig ist oder — wofür die Gemeinde mit dem vorgeschlagenen Sondergebiet Energieinfrastruktur bereits votiert — ein Bebauungsplan nebst städtebaulichem Vertrag nach § 11 BauGB erforderlich ist. Bauordnungsrechtlich stellt sich die Frage, ob Container, Trafostationen, Umspannwerk, Leitwarte und Feuerwehrbecken als ein Sonderbau zu behandeln sind. Immissionsschutzrechtlich sind die acht Dieselgeneratoren auf Genehmigungsbedürftigkeit, Betriebsstunden und die Anforderungen der 44. BImSchV zu prüfen, der Dieseltank auf die AwSV. Energiewirtschaftlich geht es um den Anschluss auf 380-kV-Ebene, die Doppelrolle des Speichers als Strombezieher und Einspeiser sowie Netzentgelt- und Umlagenfragen. Sicherheitsrechtlich entscheiden die Leitwarte in Berlin und die Fernwartung aus Rotterdam über den KRITIS- und Cyber-Scope. Diese Matrix bestimmt, ob die Projektgesellschaft gestalten, nachfordern oder bereits förmliche Anträge vorbereiten muss.</w:t>
      </w:r>
    </w:p>
    <w:p>
      <w:pPr>
        <w:pStyle w:val="Heading2"/>
      </w:pPr>
      <w:r>
        <w:rPr>
          <w:rFonts w:ascii="Times New Roman" w:hAnsi="Times New Roman"/>
        </w:rPr>
        <w:t>Subsumtion I: Ausgangsposition</w:t>
      </w:r>
    </w:p>
    <w:p>
      <w:pPr>
        <w:jc w:val="left"/>
      </w:pPr>
      <w:r>
        <w:t>Die Projektgesellschaft hat eine vertretbare, aber nicht risikolose Ausgangsposition. Sie kann sich auf die Gate-1-Beschlussvorlage mit einem Budget von 18,4 Mio. EUR, den Standort- und Flächenvermerk zur Lage an der bestehenden 380-kV-Trasse, das Feuerwehr-Workshop-Protokoll und den Kosten- und Zeitplan stützen; zusammen ergeben diese Unterlagen ein plausibles Bild. Schwach ist, dass zentrale Tatbestandsmerkmale nicht durch Originaldokumente belegt sind: Die Netzanschlusszusage existiert nur als Studienangebot über 875.000 EUR, die Zellchemie ist zwischen Präsentation (LFP) und technischer Anlage (zwei alternative Lieferanten) widersprüchlich, und das Temperaturverhalten schwankt zwischen 'ohne Leistungsreduktion bis +45 Grad Celsius' und 'Derating ab +38 Grad'. Solche Stände sind praktisch wertvoll, aber behördlich sowie gegenüber Banken und Versicherern angreifbar.</w:t>
      </w:r>
    </w:p>
    <w:p>
      <w:pPr>
        <w:pStyle w:val="Heading2"/>
      </w:pPr>
      <w:r>
        <w:rPr>
          <w:rFonts w:ascii="Times New Roman" w:hAnsi="Times New Roman"/>
        </w:rPr>
        <w:t>Subsumtion II: Gegenseite und Behördenlogik</w:t>
      </w:r>
    </w:p>
    <w:p>
      <w:pPr>
        <w:jc w:val="left"/>
      </w:pPr>
      <w:r>
        <w:t>Die Gegenseite wird voraussichtlich nicht den gesamten Vorgang bestreiten, sondern an einzelnen Scharnieren ansetzen: Die Bauaufsicht fragt, ob der Betreiber ein Sonderbau-Sicherheitskonzept schuldet; die Feuerwehr akzeptiert kontrolliertes Ausbrennen nicht als alleinige Einsatzstrategie und lehnt den Dorfteich als Löschwasserquelle ab; der Versicherer fordert Abstände zwischen den Containerblöcken, die der Layoutplan noch nicht vorsieht; die Einwender vom Reiterhof rügen Geräusch, Licht und Brandgefahr; und die Banken verlangen bestandskräftige oder vollziehbare Genehmigungen als Condition Precedent. Deshalb muss die Antwort nicht laut, sondern präzise sein: Sie muss zeigen, dass die Projektgesellschaft die relevanten Tatbestandsmerkmale belegen kann.</w:t>
      </w:r>
    </w:p>
    <w:p>
      <w:pPr>
        <w:pStyle w:val="Heading2"/>
      </w:pPr>
      <w:r>
        <w:rPr>
          <w:rFonts w:ascii="Times New Roman" w:hAnsi="Times New Roman"/>
        </w:rPr>
        <w:t>Beweis- und Dokumentenstrategie</w:t>
      </w:r>
    </w:p>
    <w:p>
      <w:pPr>
        <w:jc w:val="left"/>
      </w:pPr>
      <w:r>
        <w:t>Für jede tragende Behauptung braucht die Akte einen Beleg. Fehlen das endgültige Battery-Management-System-Manual, der Zellchemie- und Brandlastnachweis, die Löschmittelverträglichkeit oder die Havariebeckenberechnung, wird nicht improvisiert, sondern eine Nachforderung an den Hersteller formuliert. Widerspricht der O&amp;M-Entwurf mit dem Derating ab +38 Grad der Präsentationsangabe eines uneingeschränkten Betriebs bis +45 Grad, wird ein Vermerk erstellt, der die Abweichung erklärt und die Erlösannahmen für den Sommer korrigiert. Die Garantiezusage von 92 % Verfügbarkeit ist in rechtliche Tatsachen zu übersetzen: Bezugszeitraum, ausgenommene Wartungsfenster, Netzbetreiberabrufe, sicherheitsbedingte Abschaltungen und die Force-Majeure-Ausnahme für Zelllieferungen im Ersatzteilversprechen.</w:t>
      </w:r>
    </w:p>
    <w:p>
      <w:pPr>
        <w:pStyle w:val="Heading2"/>
      </w:pPr>
      <w:r>
        <w:rPr>
          <w:rFonts w:ascii="Times New Roman" w:hAnsi="Times New Roman"/>
        </w:rPr>
        <w:t>Taktische Bewertung</w:t>
      </w:r>
    </w:p>
    <w:p>
      <w:pPr>
        <w:jc w:val="left"/>
      </w:pPr>
      <w:r>
        <w:t>Der beste nächste Schritt ist eine gestufte Reaktion. Zuerst wird die Akte geschlossen: die Grundstückssicherung über die Flurstücke 144/3, 144/8 und 145/2 dokumentieren, die Netzverträglichkeitsstudie zum 31.07.2026 beauftragen, die Nachforderungen der Feuerwehr — Einsatzplan im Maßstab 1:500, Löschwasserrückhaltung, Quarantänefläche, Funkabdeckung auf dem Gelände — terminieren und den KRITIS-Scope mit dem Chief Security Officer klären. Zweitens wird die der Gemeinde zugesagte Unterlage zu Brandschutz, Verkehr und Gewerbesteuer entworfen, die das Planverfahren konkretisiert, ohne Zusagen vorwegzunehmen. Drittens wird ein interner Entscheidungsvermerk für Gate 2 erstellt, der die Varianten mit Kosten und Risiken enthält. Viertens wird der Aufstellungsbeschluss für den Bebauungsplan 'Sondergebiet Energie- und Speicherinfrastruktur Märkische Reserve Süd' vorbereitet, aber erst ausgelöst, wenn Brandschutz- und Umweltprogramm konsistent sind.</w:t>
      </w:r>
    </w:p>
    <w:p>
      <w:pPr>
        <w:pStyle w:val="Heading2"/>
      </w:pPr>
      <w:r>
        <w:rPr>
          <w:rFonts w:ascii="Times New Roman" w:hAnsi="Times New Roman"/>
        </w:rPr>
        <w:t>Ergebnis</w:t>
      </w:r>
    </w:p>
    <w:p>
      <w:pPr>
        <w:jc w:val="left"/>
      </w:pPr>
      <w:r>
        <w:t>Die Akte ist nicht mit einem einfachen Ja oder Nein erledigt. Das Vorhaben ist nach Aktenstand weder unmöglich noch bankfähig: Es fehlen der verbindliche Netzanschluss, das Bauplanungsrecht, ein konsistentes Brandschutz- und Havariekonzept und ein geklärter Cyber- und KRITIS-Rahmen für die Fernwartung aus Rotterdam. Aufgabe dieses Gutachtens ist es, die Entscheidung der Geschäftsführung zu beschleunigen, die Lücken sichtbar zu machen und zu verhindern, dass ein scheinbar kleines Formproblem — eine übersehene Frist, eine ungedeckte Kommunikationsaussage, ein widersprüchlicher Datenraumstand — später den materiell tragfähigen Standpunkt gegenüber Gemeinde, Banken und Versicherern zerstört.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