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Kandidatenlösung Balduin Rabenfels</w:t>
      </w:r>
    </w:p>
    <w:p>
      <w:pPr>
        <w:pStyle w:val="Heading2"/>
      </w:pPr>
      <w:r>
        <w:rPr>
          <w:rFonts w:ascii="Times New Roman" w:hAnsi="Times New Roman"/>
        </w:rPr>
        <w:t>Bearbeitungsvermerk</w:t>
      </w:r>
    </w:p>
    <w:p>
      <w:pPr>
        <w:jc w:val="left"/>
      </w:pPr>
      <w:r>
        <w:t>Balduin bearbeitet die Akte unter Zeitdruck nach 83 Minuten. Er liest nur das Inserat, die Auktionsemail und das Mahnschreiben. Die Minderjährigennotiz, die Vollmacht und die spätere Anfechtungserklärung übersieht er.</w:t>
      </w:r>
    </w:p>
    <w:p>
      <w:pPr>
        <w:pStyle w:val="Heading2"/>
      </w:pPr>
      <w:r>
        <w:rPr>
          <w:rFonts w:ascii="Times New Roman" w:hAnsi="Times New Roman"/>
        </w:rPr>
        <w:t>Lösungsskizze des Kandidaten</w:t>
      </w:r>
    </w:p>
    <w:p>
      <w:pPr>
        <w:jc w:val="left"/>
      </w:pPr>
      <w:r>
        <w:t>Wendelbert kann Zahlung des vollen Kaufpreises verlangen, weil ein Kaufvertrag geschlossen wurde. Das Angebot lag schon im Inserat der Online-Auktion. Giselher hat durch sein Höchstgebot angenommen. Weil die Plattform automatisch bestätigt hat, ist der Vertrag sicher zustande gekommen. Ein Irrtum ist unbeachtlich, weil man bei Auktionen sein Risiko selbst trägt. Die Eltern können nicht mehr widersprechen, weil Giselher den Artikel selbst ersteigert hat und damit gezeigt hat, dass er reif genug war. Außerdem ist das Pressezubehör für die Werkstatt nützlich, also rechtlich vorteilhaft.</w:t>
      </w:r>
    </w:p>
    <w:p>
      <w:pPr>
        <w:jc w:val="left"/>
      </w:pPr>
      <w:r>
        <w:t>Die Vollmacht des Werkstattmeisters ist egal, weil jeder Werkstattmeister bei Werkstattbedarf handeln darf. Selbst wenn die Vollmacht fehlte, hat die Werkstatt später nicht sofort widersprochen. Damit liegt jedenfalls Duldungsvollmacht vor.</w:t>
      </w:r>
    </w:p>
    <w:p>
      <w:pPr>
        <w:pStyle w:val="Heading2"/>
      </w:pPr>
      <w:r>
        <w:rPr>
          <w:rFonts w:ascii="Times New Roman" w:hAnsi="Times New Roman"/>
        </w:rPr>
        <w:t>Falsche Subsumtionen</w:t>
      </w:r>
    </w:p>
    <w:p>
      <w:pPr>
        <w:pStyle w:val="ListBullet"/>
      </w:pPr>
      <w:r>
        <w:t>Verwechselt Inserat und Angebot, ohne die Plattformbedingungen und den Rechtsbindungswillen zu prüfen.</w:t>
      </w:r>
    </w:p>
    <w:p>
      <w:pPr>
        <w:pStyle w:val="ListBullet"/>
      </w:pPr>
      <w:r>
        <w:t>Hält wirtschaftliche Nützlichkeit für rechtliche Vorteilhaftigkeit.</w:t>
      </w:r>
    </w:p>
    <w:p>
      <w:pPr>
        <w:pStyle w:val="ListBullet"/>
      </w:pPr>
      <w:r>
        <w:t>Prüft § 110 BGB nicht, obwohl Ratenzahlung und fremde Mittel im Raum stehen.</w:t>
      </w:r>
    </w:p>
    <w:p>
      <w:pPr>
        <w:pStyle w:val="ListBullet"/>
      </w:pPr>
      <w:r>
        <w:t>Springt über § 177 BGB hinweg und konstruiert Duldungsvollmacht ohne wiederholtes Verhalten.</w:t>
      </w:r>
    </w:p>
    <w:p>
      <w:pPr>
        <w:pStyle w:val="ListBullet"/>
      </w:pPr>
      <w:r>
        <w:t>Verneint Anfechtung pauschal, ohne zwischen Inhalts-, Erklärungs- und Eigenschaftsirrtum zu unterscheiden.</w:t>
      </w:r>
    </w:p>
    <w:p>
      <w:pPr>
        <w:pStyle w:val="Heading2"/>
      </w:pPr>
      <w:r>
        <w:rPr>
          <w:rFonts w:ascii="Times New Roman" w:hAnsi="Times New Roman"/>
        </w:rPr>
        <w:t>Korrekturhinweis</w:t>
      </w:r>
    </w:p>
    <w:p>
      <w:pPr>
        <w:jc w:val="left"/>
      </w:pPr>
      <w:r>
        <w:t>Die Lösung ist brauchbar als Negativfolie: Sie zeigt schnelle Ergebnisfixierung, zu wenig Tatbestandsarbeit und fehlende Trennung zwischen Vertragsschluss, Minderjährigenrecht, Stellvertretung und Anfechtung.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