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Heimvertrag Seniorenzentrum St. Gertrud — beglaubigte Abschrift der wesentlichen Bestimmungen</w:t>
      </w:r>
    </w:p>
    <w:p>
      <w:pPr>
        <w:jc w:val="left"/>
      </w:pPr>
      <w:r>
        <w:rPr>
          <w:b/>
        </w:rPr>
        <w:t>Wohn- und Betreuungsvertrag nach dem Wohn- und Betreuungsvertragsgesetz</w:t>
      </w:r>
    </w:p>
    <w:p>
      <w:pPr>
        <w:jc w:val="left"/>
      </w:pPr>
      <w:r>
        <w:t>zwischen der</w:t>
      </w:r>
    </w:p>
    <w:p>
      <w:pPr>
        <w:jc w:val="left"/>
      </w:pPr>
      <w:r>
        <w:t>St. Gertrud Seniorenhilfe gGmbH, Trägerin des Seniorenzentrums St. Gertrud, Kapuzinergraben 24, 52062 Aachen, vertreten durch die Einrichtungsleiterin Beate Wollersheim (nachfolgend: Einrichtung)</w:t>
      </w:r>
    </w:p>
    <w:p>
      <w:pPr>
        <w:jc w:val="left"/>
      </w:pPr>
      <w:r>
        <w:t>und</w:t>
      </w:r>
    </w:p>
    <w:p>
      <w:pPr>
        <w:jc w:val="left"/>
      </w:pPr>
      <w:r>
        <w:t>Frau Hildegard Reinhold, geboren am 07.03.1949, bisher wohnhaft Eupener Straße 41, 52066 Aachen, vertreten durch ihren Sohn Markus Reinhold aufgrund notariell beurkundeter Vorsorgevollmacht vom 14.05.2019 (Urkundenrolle Nr. 812/2019 des Notars Dr. Kerkhoff, Aachen) (nachfolgend: Bewohnerin)</w:t>
      </w:r>
    </w:p>
    <w:p>
      <w:pPr>
        <w:jc w:val="left"/>
      </w:pPr>
      <w:r>
        <w:t>geschlossen am 22.09.2025.</w:t>
      </w:r>
    </w:p>
    <w:p>
      <w:pPr>
        <w:pStyle w:val="Heading2"/>
      </w:pPr>
      <w:r>
        <w:rPr>
          <w:rFonts w:ascii="Times New Roman" w:hAnsi="Times New Roman"/>
        </w:rPr>
        <w:t>1 Vertragsgegenstand und Einzug</w:t>
      </w:r>
    </w:p>
    <w:p>
      <w:pPr>
        <w:jc w:val="left"/>
      </w:pPr>
      <w:r>
        <w:t>1.1 Die Einrichtung überlässt der Bewohnerin ab dem 01.10.2025 das Einzelzimmer Nr. 214 im zweiten Obergeschoss des Wohnbereichs Marienbongard mit einer Wohnfläche von 18,4 Quadratmetern nebst eigenem Duschbad und stellt die in der Leistungsbeschreibung (Anlage 1) aufgeführten Pflege-, Betreuungs- und Verpflegungsleistungen zur Verfügung.</w:t>
      </w:r>
    </w:p>
    <w:p>
      <w:pPr>
        <w:jc w:val="left"/>
      </w:pPr>
      <w:r>
        <w:t>1.2 Die Bewohnerin ist zum Zeitpunkt des Vertragsschlusses in den Pflegegrad 4 eingestuft. Die Einrichtung erbringt die pflegerischen Leistungen nach dem jeweils gültigen Rahmenvertrag für vollstationäre Pflege in Nordrhein-Westfalen.</w:t>
      </w:r>
    </w:p>
    <w:p>
      <w:pPr>
        <w:pStyle w:val="Heading2"/>
      </w:pPr>
      <w:r>
        <w:rPr>
          <w:rFonts w:ascii="Times New Roman" w:hAnsi="Times New Roman"/>
        </w:rPr>
        <w:t>2 Entgelt</w:t>
      </w:r>
    </w:p>
    <w:p>
      <w:pPr>
        <w:jc w:val="left"/>
      </w:pPr>
      <w:r>
        <w:t>2.1 Das monatliche Gesamtentgelt setzt sich zum Stand des Vertragsschlusses wie folgt zusammen: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Entgeltbestandteil</w:t>
            </w:r>
          </w:p>
        </w:tc>
        <w:tc>
          <w:tcPr>
            <w:tcW w:type="dxa" w:w="4536"/>
          </w:tcPr>
          <w:p>
            <w:r>
              <w:rPr>
                <w:rFonts w:ascii="Times New Roman" w:hAnsi="Times New Roman"/>
                <w:b/>
                <w:sz w:val="20"/>
              </w:rPr>
              <w:t>Betrag monatlich</w:t>
            </w:r>
          </w:p>
        </w:tc>
      </w:tr>
      <w:tr>
        <w:tc>
          <w:tcPr>
            <w:tcW w:type="dxa" w:w="4536"/>
          </w:tcPr>
          <w:p>
            <w:r>
              <w:rPr>
                <w:rFonts w:ascii="Times New Roman" w:hAnsi="Times New Roman"/>
                <w:sz w:val="20"/>
              </w:rPr>
              <w:t>Pflegebedingte Aufwendungen (Pflegegrad 4)</w:t>
            </w:r>
          </w:p>
        </w:tc>
        <w:tc>
          <w:tcPr>
            <w:tcW w:type="dxa" w:w="4536"/>
          </w:tcPr>
          <w:p>
            <w:r>
              <w:rPr>
                <w:rFonts w:ascii="Times New Roman" w:hAnsi="Times New Roman"/>
                <w:sz w:val="20"/>
              </w:rPr>
              <w:t>1.910,00 EUR</w:t>
            </w:r>
          </w:p>
        </w:tc>
      </w:tr>
      <w:tr>
        <w:tc>
          <w:tcPr>
            <w:tcW w:type="dxa" w:w="4536"/>
          </w:tcPr>
          <w:p>
            <w:r>
              <w:rPr>
                <w:rFonts w:ascii="Times New Roman" w:hAnsi="Times New Roman"/>
                <w:sz w:val="20"/>
              </w:rPr>
              <w:t>Unterkunft und Verpflegung</w:t>
            </w:r>
          </w:p>
        </w:tc>
        <w:tc>
          <w:tcPr>
            <w:tcW w:type="dxa" w:w="4536"/>
          </w:tcPr>
          <w:p>
            <w:r>
              <w:rPr>
                <w:rFonts w:ascii="Times New Roman" w:hAnsi="Times New Roman"/>
                <w:sz w:val="20"/>
              </w:rPr>
              <w:t>1.040,00 EUR</w:t>
            </w:r>
          </w:p>
        </w:tc>
      </w:tr>
      <w:tr>
        <w:tc>
          <w:tcPr>
            <w:tcW w:type="dxa" w:w="4536"/>
          </w:tcPr>
          <w:p>
            <w:r>
              <w:rPr>
                <w:rFonts w:ascii="Times New Roman" w:hAnsi="Times New Roman"/>
                <w:sz w:val="20"/>
              </w:rPr>
              <w:t>Einrichtungseinheitlicher Eigenanteil und Investitionskosten</w:t>
            </w:r>
          </w:p>
        </w:tc>
        <w:tc>
          <w:tcPr>
            <w:tcW w:type="dxa" w:w="4536"/>
          </w:tcPr>
          <w:p>
            <w:r>
              <w:rPr>
                <w:rFonts w:ascii="Times New Roman" w:hAnsi="Times New Roman"/>
                <w:sz w:val="20"/>
              </w:rPr>
              <w:t>1.060,00 EUR</w:t>
            </w:r>
          </w:p>
        </w:tc>
      </w:tr>
      <w:tr>
        <w:tc>
          <w:tcPr>
            <w:tcW w:type="dxa" w:w="4536"/>
          </w:tcPr>
          <w:p>
            <w:r>
              <w:rPr>
                <w:rFonts w:ascii="Times New Roman" w:hAnsi="Times New Roman"/>
                <w:sz w:val="20"/>
              </w:rPr>
              <w:t>Ausbildungsumlage und Zusatzleistungen</w:t>
            </w:r>
          </w:p>
        </w:tc>
        <w:tc>
          <w:tcPr>
            <w:tcW w:type="dxa" w:w="4536"/>
          </w:tcPr>
          <w:p>
            <w:r>
              <w:rPr>
                <w:rFonts w:ascii="Times New Roman" w:hAnsi="Times New Roman"/>
                <w:sz w:val="20"/>
              </w:rPr>
              <w:t>370,00 EUR</w:t>
            </w:r>
          </w:p>
        </w:tc>
      </w:tr>
      <w:tr>
        <w:tc>
          <w:tcPr>
            <w:tcW w:type="dxa" w:w="4536"/>
          </w:tcPr>
          <w:p>
            <w:r>
              <w:rPr>
                <w:rFonts w:ascii="Times New Roman" w:hAnsi="Times New Roman"/>
                <w:b/>
                <w:sz w:val="20"/>
              </w:rPr>
              <w:t>Gesamtentgelt</w:t>
            </w:r>
          </w:p>
        </w:tc>
        <w:tc>
          <w:tcPr>
            <w:tcW w:type="dxa" w:w="4536"/>
          </w:tcPr>
          <w:p>
            <w:r>
              <w:rPr>
                <w:rFonts w:ascii="Times New Roman" w:hAnsi="Times New Roman"/>
                <w:b/>
                <w:sz w:val="20"/>
              </w:rPr>
              <w:t>4.380,00 EUR</w:t>
            </w:r>
          </w:p>
        </w:tc>
      </w:tr>
    </w:tbl>
    <w:p>
      <w:pPr>
        <w:jc w:val="left"/>
      </w:pPr>
      <w:r>
        <w:t>2.2 Auf das Gesamtentgelt werden die Leistungen der Pflegekasse nach dem SGB XI angerechnet, soweit sie der Einrichtung unmittelbar zufließen. Den verbleibenden Eigenanteil schuldet die Bewohnerin.</w:t>
      </w:r>
    </w:p>
    <w:p>
      <w:pPr>
        <w:jc w:val="left"/>
      </w:pPr>
      <w:r>
        <w:t>2.3 Entgelterhöhungen sind nur nach Maßgabe des Wohn- und Betreuungsvertragsgesetzes zulässig; sie werden mindestens vier Wochen vor dem Wirksamwerden schriftlich angekündigt und begründet.</w:t>
      </w:r>
    </w:p>
    <w:p>
      <w:pPr>
        <w:pStyle w:val="Heading2"/>
      </w:pPr>
      <w:r>
        <w:rPr>
          <w:rFonts w:ascii="Times New Roman" w:hAnsi="Times New Roman"/>
        </w:rPr>
        <w:t>3 Abrechnung und Fälligkeit</w:t>
      </w:r>
    </w:p>
    <w:p>
      <w:pPr>
        <w:jc w:val="left"/>
      </w:pPr>
      <w:r>
        <w:t>3.1 Das Entgelt ist monatlich im Voraus, spätestens bis zum dritten Werktag des laufenden Monats, auf das Konto der Trägerin bei der Sparkasse Aachen (IBAN DE21 3905 0000 1071 4428 03) zu zahlen.</w:t>
      </w:r>
    </w:p>
    <w:p>
      <w:pPr>
        <w:jc w:val="left"/>
      </w:pPr>
      <w:r>
        <w:t>3.2 Die Einrichtung erteilt monatlich eine schriftliche Abrechnung, in der die Entgeltbestandteile, die angerechneten Leistungen der Pflegekasse und der verbleibende Eigenanteil gesondert ausgewiesen sind.</w:t>
      </w:r>
    </w:p>
    <w:p>
      <w:pPr>
        <w:pStyle w:val="Heading2"/>
      </w:pPr>
      <w:r>
        <w:rPr>
          <w:rFonts w:ascii="Times New Roman" w:hAnsi="Times New Roman"/>
        </w:rPr>
        <w:t>4 Anpassung bei Änderung des Pflegegrades</w:t>
      </w:r>
    </w:p>
    <w:p>
      <w:pPr>
        <w:jc w:val="left"/>
      </w:pPr>
      <w:r>
        <w:t>Ändert sich der Pflegegrad der Bewohnerin, so passt die Einrichtung das Entgelt mit Wirkung von dem Tag an, an dem die Einstufung wirksam wird, an den dann maßgeblichen Pflegesatz an. Einer Kündigung bedarf es hierfür nicht.</w:t>
      </w:r>
    </w:p>
    <w:p>
      <w:pPr>
        <w:pStyle w:val="Heading2"/>
      </w:pPr>
      <w:r>
        <w:rPr>
          <w:rFonts w:ascii="Times New Roman" w:hAnsi="Times New Roman"/>
        </w:rPr>
        <w:t>5 Vertragsdauer und Kündigung</w:t>
      </w:r>
    </w:p>
    <w:p>
      <w:pPr>
        <w:jc w:val="left"/>
      </w:pPr>
      <w:r>
        <w:t>5.1 Der Vertrag wird auf unbestimmte Zeit geschlossen.</w:t>
      </w:r>
    </w:p>
    <w:p>
      <w:pPr>
        <w:jc w:val="left"/>
      </w:pPr>
      <w:r>
        <w:t>5.2 Die Bewohnerin kann den Vertrag spätestens am dritten Werktag eines Kalendermonats zum Ablauf desselben Monats schriftlich kündigen. Das Recht zur Kündigung aus wichtigem Grund bleibt unberührt.</w:t>
      </w:r>
    </w:p>
    <w:p>
      <w:pPr>
        <w:jc w:val="left"/>
      </w:pPr>
      <w:r>
        <w:t>5.3 Der Vertrag endet mit dem Sterbetag der Bewohnerin. Eine Fortzahlungspflicht über den Sterbetag hinaus besteht nicht.</w:t>
      </w:r>
    </w:p>
    <w:p>
      <w:pPr>
        <w:pStyle w:val="Heading2"/>
      </w:pPr>
      <w:r>
        <w:rPr>
          <w:rFonts w:ascii="Times New Roman" w:hAnsi="Times New Roman"/>
        </w:rPr>
        <w:t>6 Schlussbestimmungen</w:t>
      </w:r>
    </w:p>
    <w:p>
      <w:pPr>
        <w:jc w:val="left"/>
      </w:pPr>
      <w:r>
        <w:t>6.1 Änderungen und Ergänzungen dieses Vertrages bedürfen der Schriftform.</w:t>
      </w:r>
    </w:p>
    <w:p>
      <w:pPr>
        <w:jc w:val="left"/>
      </w:pPr>
      <w:r>
        <w:t>6.2 Sollte eine Bestimmung dieses Vertrages unwirksam sein, bleibt die Wirksamkeit des Vertrages im Übrigen unberührt.</w:t>
      </w:r>
    </w:p>
    <w:p>
      <w:pPr>
        <w:jc w:val="left"/>
      </w:pPr>
      <w:r>
        <w:t>Aachen, den 22.09.2025</w:t>
      </w:r>
    </w:p>
    <w:p>
      <w:pPr>
        <w:jc w:val="left"/>
      </w:pPr>
      <w:r>
        <w:t>gez. Beate Wollersheim (Einrichtungsleiterin)</w:t>
      </w:r>
    </w:p>
    <w:p>
      <w:pPr>
        <w:jc w:val="left"/>
      </w:pPr>
      <w:r>
        <w:t>gez. Markus Reinhold (für die Bewohnerin aufgrund Vorsorgevollmacht)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