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Transaktionsmonitoring-Alert – Drittzahlung 187.500 EUR</w:t>
      </w:r>
    </w:p>
    <w:p>
      <w:pPr>
        <w:jc w:val="left"/>
      </w:pPr>
      <w:r>
        <w:rPr>
          <w:b/>
        </w:rPr>
        <w:t>Alert-Nr.:</w:t>
      </w:r>
      <w:r>
        <w:t xml:space="preserve"> TM-ALERT-2026-0047</w:t>
      </w:r>
    </w:p>
    <w:p>
      <w:pPr>
        <w:jc w:val="left"/>
      </w:pPr>
      <w:r>
        <w:rPr>
          <w:b/>
        </w:rPr>
        <w:t>Generiert:</w:t>
      </w:r>
      <w:r>
        <w:t xml:space="preserve"> 28.04.2026, 14:52 Uhr (automatisches Monitoringsystem)</w:t>
      </w:r>
    </w:p>
    <w:p>
      <w:pPr>
        <w:jc w:val="left"/>
      </w:pPr>
      <w:r>
        <w:rPr>
          <w:b/>
        </w:rPr>
        <w:t>Geprüft von:</w:t>
      </w:r>
      <w:r>
        <w:t xml:space="preserve"> Thomas Eckhardt (Geldwäschebeauftragter)</w:t>
      </w:r>
    </w:p>
    <w:p>
      <w:pPr>
        <w:jc w:val="left"/>
      </w:pPr>
      <w:r>
        <w:rPr>
          <w:b/>
        </w:rPr>
        <w:t>Eskalationsdatum:</w:t>
      </w:r>
      <w:r>
        <w:t xml:space="preserve"> 29.04.2026</w:t>
      </w:r>
    </w:p>
    <w:p>
      <w:pPr>
        <w:jc w:val="left"/>
      </w:pPr>
      <w:r>
        <w:rPr>
          <w:b/>
        </w:rPr>
        <w:t>Status:</w:t>
      </w:r>
      <w:r>
        <w:t xml:space="preserve"> Eskaliert — Verdachtsmeldung eingeleitet</w:t>
      </w:r>
    </w:p>
    <w:p>
      <w:pPr>
        <w:jc w:val="left"/>
      </w:pPr>
      <w:r>
        <w:rPr>
          <w:b/>
        </w:rPr>
        <w:t>Rechtsgrundlage:</w:t>
      </w:r>
      <w:r>
        <w:t xml:space="preserve"> § 15 Abs. 3 GwG; § 43 GwG; FATF-Guidance on High-Risk Transactions</w:t>
      </w:r>
    </w:p>
    <w:p/>
    <w:p>
      <w:pPr>
        <w:pStyle w:val="Heading2"/>
      </w:pPr>
      <w:r>
        <w:rPr>
          <w:rFonts w:ascii="Times New Roman" w:hAnsi="Times New Roman"/>
        </w:rPr>
        <w:t>1. Transaktionsdetails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Kontonummer Empfänger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Musterholding GmbH, Commerzbank Frankfurt, IBAN DE44 5004 0000 0517 8837 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Eingangsdatum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Eingangszeit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14:37 Uhr MESZ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187.500,00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Auftraggeber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Adriatic Commerce Ltd., Valletta, Malta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Auftraggeber-IBAN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MT84 MALT 0110 0001 2345 MTLB 010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Auftraggeber-Bank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 of Valletta p.l.c., Valletta, Malta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Verwendungszweck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"Advance Payment – Contract MH-DTS-2026-04"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Zugehöriger Vertrag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MH-DTS-2026-04 (Danube Trade Solutions SRL — noch nicht unterschrieben)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Vertragspartner laut KYC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Danube Trade Solutions SRL, Bukarest, Rumänien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Vertragspartner laut Zahlung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Adriatic Commerce Ltd., Malta — abweichend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Alert-Generierung und Regelwerk</w:t>
      </w:r>
    </w:p>
    <w:p>
      <w:pPr>
        <w:pStyle w:val="Heading3"/>
      </w:pPr>
      <w:r>
        <w:rPr>
          <w:rFonts w:ascii="Times New Roman" w:hAnsi="Times New Roman"/>
        </w:rPr>
        <w:t>2.1 Ausgelöste Monitoring-Regeln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Regel-ID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Regelbezeichnung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Schwellenwert / 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Ausgelöst?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TM-R-001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Drittzahler-Abweichung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 von nicht-identem Vertragspartner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TM-R-002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Betragsschwelle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Ersteingang &gt;100.000 EUR von unbekanntem Absender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TM-R-003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Neue-Geschäftsbeziehung + Vorauszahlung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Anzahlung vor Vertragsunterzeichnung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TM-R-004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Hochrisikoland-Absender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Absenderland Malta (EU-Offshore-Jurisdiktion)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TM-R-005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Verwendungszweck-Referenz 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Vertragsnummer in VZ, aber Vertrag nicht freigegeben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TM-R-006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Rundbetrag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Betrag exakt auf 500 EUR gerundet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(187.500 = gerundet auf 2.500 EUR-Basis)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TM-R-007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Knapp-Unter-Schwelle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Betrag knapp unter 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  <w:r>
              <w:rPr>
                <w:rFonts w:ascii="Times New Roman" w:hAnsi="Times New Roman"/>
                <w:sz w:val="20"/>
              </w:rPr>
              <w:t xml:space="preserve"> (mögliches Structuring)</w:t>
            </w:r>
          </w:p>
        </w:tc>
      </w:tr>
    </w:tbl>
    <w:p>
      <w:pPr>
        <w:jc w:val="left"/>
      </w:pPr>
      <w:r>
        <w:rPr>
          <w:b/>
        </w:rPr>
        <w:t>Gesamtzahl ausgelöster Regeln:</w:t>
      </w:r>
      <w:r>
        <w:t xml:space="preserve"> 6 von 7 → </w:t>
      </w:r>
      <w:r>
        <w:rPr>
          <w:b/>
        </w:rPr>
        <w:t>Automatische Hochrisiko-Eskalation</w:t>
      </w:r>
    </w:p>
    <w:p>
      <w:pPr>
        <w:pStyle w:val="Heading3"/>
      </w:pPr>
      <w:r>
        <w:rPr>
          <w:rFonts w:ascii="Times New Roman" w:hAnsi="Times New Roman"/>
        </w:rPr>
        <w:t>2.2 Alert-Score</w:t>
      </w:r>
    </w:p>
    <w:p>
      <w:pPr>
        <w:jc w:val="left"/>
      </w:pPr>
      <w:r>
        <w:t>Das Monitoringsystem vergibt einen risikogewichteten Score (0–100):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Gewichtung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Score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Drittzahler-Abweichung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× 2,5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Betragshöhe (&gt;100 TEUR)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× 1,5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Neue Geschäftsbeziehung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× 1,5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Hochrisikoland Malta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× 1,5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VZ-Diskrepanz (offener Vertrag)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× 1,0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Possible Structuring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× 1,0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Gesamt-Alert-Score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90 / 100</w:t>
            </w:r>
          </w:p>
        </w:tc>
      </w:tr>
    </w:tbl>
    <w:p>
      <w:pPr>
        <w:jc w:val="left"/>
      </w:pPr>
      <w:r>
        <w:t xml:space="preserve">Schwellenwert automatische Eskalation an GwB: 60. Schwellenwert Verdachtsmeldungs-Prüfung: 80. </w:t>
      </w:r>
      <w:r>
        <w:rPr>
          <w:b/>
        </w:rPr>
        <w:t>Alert-Score 90 → Pflichtprüfung auf Verdachtsmeldung.</w:t>
      </w:r>
    </w:p>
    <w:p/>
    <w:p>
      <w:pPr>
        <w:pStyle w:val="Heading2"/>
      </w:pPr>
      <w:r>
        <w:rPr>
          <w:rFonts w:ascii="Times New Roman" w:hAnsi="Times New Roman"/>
        </w:rPr>
        <w:t>3. Manuelle Analyse durch den Geldwäschebeauftragten</w:t>
      </w:r>
    </w:p>
    <w:p>
      <w:pPr>
        <w:pStyle w:val="Heading3"/>
      </w:pPr>
      <w:r>
        <w:rPr>
          <w:rFonts w:ascii="Times New Roman" w:hAnsi="Times New Roman"/>
        </w:rPr>
        <w:t>3.1 Hintergrund Adriatic Commerce Ltd.</w:t>
      </w:r>
    </w:p>
    <w:p>
      <w:pPr>
        <w:jc w:val="left"/>
      </w:pPr>
      <w:r>
        <w:t>Adriatic Commerce Ltd. ist im maltesischen Handelsregister (MFSA Registry) eingetragen (Reg. Nr. C 74891, eingetragen 09.03.2021). Geschäftszweck laut Register: "General Trading". Director: Nominee. Jahresumsatz: nicht öffentlich verfügbar. Eine geschäftliche Verbindung zu Danube Trade Solutions SRL ist nicht dokumentiert; auf Anfrage (29.04.2026) gab Andrei Moldovan (Danube Trade) an, Adriatic Commerce Ltd. sei ein "verbundenes Unternehmen", ohne weitere Details zu nennen.</w:t>
      </w:r>
    </w:p>
    <w:p>
      <w:pPr>
        <w:pStyle w:val="Heading3"/>
      </w:pPr>
      <w:r>
        <w:rPr>
          <w:rFonts w:ascii="Times New Roman" w:hAnsi="Times New Roman"/>
        </w:rPr>
        <w:t>3.2 Bewertung der Drittzahlung</w:t>
      </w:r>
    </w:p>
    <w:p>
      <w:pPr>
        <w:jc w:val="left"/>
      </w:pPr>
      <w:r>
        <w:t>Drittzahlungen sind per se nicht verboten, begründen aber nach § 15 Abs. 3 Nr. 3 GwG und den BaFin-Auslegungshinweisen eine verstärkte Sorgfaltspflicht, wenn:</w:t>
      </w:r>
    </w:p>
    <w:p>
      <w:pPr>
        <w:pStyle w:val="ListBullet"/>
      </w:pPr>
      <w:r>
        <w:t>keine vorige schriftliche Erklärung des Zahlenden vorliegt,</w:t>
      </w:r>
    </w:p>
    <w:p>
      <w:pPr>
        <w:pStyle w:val="ListBullet"/>
      </w:pPr>
      <w:r>
        <w:t>das Verhältnis Drittzahler–Vertragspartner nicht nachvollziehbar ist,</w:t>
      </w:r>
    </w:p>
    <w:p>
      <w:pPr>
        <w:pStyle w:val="ListBullet"/>
      </w:pPr>
      <w:r>
        <w:t>der Zahlende selbst einem erhöhten Länderrisiko unterliegt (Malta), und</w:t>
      </w:r>
    </w:p>
    <w:p>
      <w:pPr>
        <w:pStyle w:val="ListBullet"/>
      </w:pPr>
      <w:r>
        <w:t>die Drittzahlung der ersten Transaktion in einer neuen Geschäftsbeziehung entspricht.</w:t>
      </w:r>
    </w:p>
    <w:p>
      <w:pPr>
        <w:jc w:val="left"/>
      </w:pPr>
      <w:r>
        <w:rPr>
          <w:b/>
        </w:rPr>
        <w:t>Alle vier Bedingungen liegen hier kumulativ vor.</w:t>
      </w:r>
    </w:p>
    <w:p>
      <w:pPr>
        <w:pStyle w:val="Heading3"/>
      </w:pPr>
      <w:r>
        <w:rPr>
          <w:rFonts w:ascii="Times New Roman" w:hAnsi="Times New Roman"/>
        </w:rPr>
        <w:t>3.3 Hypothesenprüfung</w:t>
      </w:r>
    </w:p>
    <w:p>
      <w:pPr>
        <w:jc w:val="left"/>
      </w:pPr>
      <w:r>
        <w:t>Der Geldwäschebeauftragte hat folgende Hypothesen geprüft:</w:t>
      </w:r>
    </w:p>
    <w:p>
      <w:pPr>
        <w:jc w:val="left"/>
      </w:pPr>
      <w:r>
        <w:rPr>
          <w:b/>
        </w:rPr>
        <w:t>Hypothese 1 — Legitimer geschäftlicher Hintergrund:</w:t>
      </w:r>
    </w:p>
    <w:p>
      <w:pPr>
        <w:jc w:val="left"/>
      </w:pPr>
      <w:r>
        <w:t>Adriatic Commerce Ltd. könnte ein verbundenes Unternehmen sein, das aus betrieblichen Gründen (z.B. zentralisiertes Cash Management) die Zahlung übernimmt. Diese Erklärung ist ohne Nachweis einer Konzernverbindung oder einer Cash-Pool-Vereinbarung nicht nachprüfbar und daher unzureichend.</w:t>
      </w:r>
    </w:p>
    <w:p>
      <w:pPr>
        <w:jc w:val="left"/>
      </w:pPr>
      <w:r>
        <w:rPr>
          <w:b/>
        </w:rPr>
        <w:t>Hypothese 2 — Strohmann-Zahlung:</w:t>
      </w:r>
    </w:p>
    <w:p>
      <w:pPr>
        <w:jc w:val="left"/>
      </w:pPr>
      <w:r>
        <w:t>Adriatic Commerce Ltd. könnte als Strohmann-Gesellschaft fungieren, um die eigentliche Quelle der Mittel zu verschleiern. Diese Hypothese ist durch den ungeklärten UBO von Blue Harbor Holdings Ltd. und die Offshore-Struktur beider Gesellschaften (Zypern + Malta) erhärtet.</w:t>
      </w:r>
    </w:p>
    <w:p>
      <w:pPr>
        <w:jc w:val="left"/>
      </w:pPr>
      <w:r>
        <w:rPr>
          <w:b/>
        </w:rPr>
        <w:t>Hypothese 3 — Layering (Geldwäschephase):</w:t>
      </w:r>
    </w:p>
    <w:p>
      <w:pPr>
        <w:jc w:val="left"/>
      </w:pPr>
      <w:r>
        <w:t>Die Zahlung könnte Teil eines Layering-Prozesses sein, bei dem Gelder aus krimineller Herkunft über mehrere Gesellschaften und Jurisdiktionen verschoben werden, bevor sie in die Wirtschaft integriert werden.</w:t>
      </w:r>
    </w:p>
    <w:p>
      <w:pPr>
        <w:jc w:val="left"/>
      </w:pPr>
      <w:r>
        <w:rPr>
          <w:b/>
        </w:rPr>
        <w:t>Ergebnis:</w:t>
      </w:r>
      <w:r>
        <w:t xml:space="preserve"> Hypothese 1 nicht belegt; Hypothesen 2 und 3 können nicht ausgeschlossen werden. Nach dem Gesamtbild überwiegen die Verdachtsmomente.</w:t>
      </w:r>
    </w:p>
    <w:p/>
    <w:p>
      <w:pPr>
        <w:pStyle w:val="Heading2"/>
      </w:pPr>
      <w:r>
        <w:rPr>
          <w:rFonts w:ascii="Times New Roman" w:hAnsi="Times New Roman"/>
        </w:rPr>
        <w:t>4. Reaktionsmaßnahmen</w:t>
      </w:r>
    </w:p>
    <w:p>
      <w:pPr>
        <w:pStyle w:val="Heading3"/>
      </w:pPr>
      <w:r>
        <w:rPr>
          <w:rFonts w:ascii="Times New Roman" w:hAnsi="Times New Roman"/>
        </w:rPr>
        <w:t>4.1 Sofortmaßnahmen (28.04.2026)</w:t>
      </w:r>
    </w:p>
    <w:p>
      <w:pPr>
        <w:pStyle w:val="ListNumber"/>
      </w:pPr>
      <w:r>
        <w:rPr>
          <w:b/>
        </w:rPr>
        <w:t>Transaktionsstopp:</w:t>
      </w:r>
      <w:r>
        <w:t xml:space="preserve"> Die Buchungsabteilung wurde angewiesen, den Betrag von 187.500 EUR auf ein internes Sperrkonto zu transferieren und nicht als reguläre Kundenzahlung zu verarbeiten. Konto: Musterholding GmbH Internum, IBAN DE44 5004 0000 0517 9900 12 (Sperrkonto Compliance).</w:t>
      </w:r>
    </w:p>
    <w:p>
      <w:pPr>
        <w:pStyle w:val="ListNumber"/>
      </w:pPr>
      <w:r>
        <w:rPr>
          <w:b/>
        </w:rPr>
        <w:t>Eskalation an GwB:</w:t>
      </w:r>
      <w:r>
        <w:t xml:space="preserve"> Automatic Alert-E-Mail an Thomas Eckhardt; Eingangsbestätigung 28.04.2026, 15:04 Uhr.</w:t>
      </w:r>
    </w:p>
    <w:p>
      <w:pPr>
        <w:pStyle w:val="ListNumber"/>
      </w:pPr>
      <w:r>
        <w:rPr>
          <w:b/>
        </w:rPr>
        <w:t>Eskalation an GF:</w:t>
      </w:r>
      <w:r>
        <w:t xml:space="preserve"> Eckhardt informiert Brenner und Wollner am 29.04.2026, 09:00 Uhr (E-Mail zzgl. Telefonat).</w:t>
      </w:r>
    </w:p>
    <w:p>
      <w:pPr>
        <w:pStyle w:val="Heading3"/>
      </w:pPr>
      <w:r>
        <w:rPr>
          <w:rFonts w:ascii="Times New Roman" w:hAnsi="Times New Roman"/>
        </w:rPr>
        <w:t>4.2 Folgemaßnahmen (29.04.–19.05.2026)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Anforderung Erklärung zu Drittzahlung an Danube Trade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hinreichende 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Screening Adriatic Commerce Ltd.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Negativscreening (kein Sanktionstreffer)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Abklärung Hypothesen durch GwB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30.04.–05.05.2026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Einleitung Mittelherkunftsnachweis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Konsultation RA Dr. Heller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3024"/>
          </w:tcPr>
          <w:p>
            <w:r>
              <w:t>Erfolgt (Telefonvermerk)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Verdachtsmeldung vorbereiten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10.–19.05.2026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Eingereicht 19.05.2026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Transaktionsstopp aufrechterhalten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Verknüpfung mit weiteren Alerts und Monitored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Entität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Verbindung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Danube Trade Solutions SRL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Vertragspartner (laufende KYC)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Blue Harbor Holdings Ltd.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 Danube Trade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Andrei Moldovan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Danube Trade; PEP-Treffer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MH-DTS-2026-04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Vertragsreferenz in VZ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Geplanter Vertrag, nicht freigegeben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Fazit und Entscheidung</w:t>
      </w:r>
    </w:p>
    <w:p>
      <w:pPr>
        <w:jc w:val="left"/>
      </w:pPr>
      <w:r>
        <w:t>Der Alert TM-ALERT-2026-0047 erfüllt alle Voraussetzungen der § 43 Abs. 1 GwG-Meldepflicht. Die Verdachtsmeldung VM-MH-2026-0041 wurde am 19.05.2026 über das goAML-Portal der FIU eingereicht. Der Transaktionsstopp bleibt bis zur Freigabe durch die FIU gemäß § 46 Abs. 1 GwG bestehen.</w:t>
      </w:r>
    </w:p>
    <w:p>
      <w:pPr>
        <w:jc w:val="left"/>
      </w:pPr>
      <w:r>
        <w:rPr>
          <w:b/>
        </w:rPr>
        <w:t>Nächste Kontrollpunkte:</w:t>
      </w:r>
    </w:p>
    <w:p>
      <w:pPr>
        <w:pStyle w:val="ListBullet"/>
      </w:pPr>
      <w:r>
        <w:t>FIU-Eingangsbestätigung ausstehend (erwartet innerhalb 48 Stunden nach Einreichung)</w:t>
      </w:r>
    </w:p>
    <w:p>
      <w:pPr>
        <w:pStyle w:val="ListBullet"/>
      </w:pPr>
      <w:r>
        <w:t>FIU-Rückmeldung gem. § 46 GwG (bis zu 3 Werktage Haltefrist)</w:t>
      </w:r>
    </w:p>
    <w:p>
      <w:pPr>
        <w:pStyle w:val="ListBullet"/>
      </w:pPr>
      <w:r>
        <w:t>Vertrieb darf keine Freigabezusagen an Danube Trade machen (§ 47 GwG — Vertraulichkeit)</w:t>
      </w:r>
    </w:p>
    <w:p/>
    <w:p>
      <w:pPr>
        <w:jc w:val="left"/>
      </w:pPr>
      <w:r>
        <w:rPr>
          <w:i/>
        </w:rPr>
        <w:t>Alert-Nr.: TM-ALERT-2026-0047 — Musterholding GmbH / Transaktionsmonitoring</w:t>
      </w:r>
    </w:p>
    <w:p>
      <w:pPr>
        <w:jc w:val="left"/>
      </w:pPr>
      <w:r>
        <w:rPr>
          <w:i/>
        </w:rPr>
        <w:t>Aufbewahrungsfrist: 5 Jahre (§ 8 Abs. 4 GwG)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