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Vollgutachten: HGB-Statuswechsel Altona</w:t>
      </w:r>
    </w:p>
    <w:p>
      <w:pPr>
        <w:pStyle w:val="Heading2"/>
      </w:pPr>
      <w:r>
        <w:rPr>
          <w:rFonts w:ascii="Times New Roman" w:hAnsi="Times New Roman"/>
        </w:rPr>
        <w:t>Auftrag und Aktenlage</w:t>
      </w:r>
    </w:p>
    <w:p>
      <w:pPr>
        <w:jc w:val="left"/>
      </w:pPr>
      <w:r>
        <w:t>Dieses Gutachten ordnet die Unterlagen der Elbwerft Solarplanung eGbR aus Hamburg-Altona und formuliert die rechtliche Prüfung so weit aus, dass Registeranmeldung, Antwort an die Soltronic AG und Verhandlung mit dem Bankhaus Altonaer Kai eG unmittelbar daraus entwickelt werden können. Der Kern liegt bei der Frage, ob das Planungsbüro durch den Einkauf und Weiterverkauf von Wechselrichtern und Batteriespeichern, einen Umsatz von 3,8 Mio. EUR im Jahr 2025, 18 Mitarbeiter und ein Warenlager in Billbrook zum Handelsgewerbe geworden und damit kraft Gesetzes OHG ist, wie der Statuswechsel aus dem Gesellschaftsregister nach § 707c BGB vollzogen wird und wie der KG-Beitritt der Möller Speicherholding GmbH mit einer Haftsumme von 250.000 EUR haftungssicher gestaltet wird. Einschlägig sind §§ 1, 105 ff., 161 ff., 171, 176 HGB, §§ 48 ff. HGB zur Prokura, § 377 HGB zum Handelskauf sowie die Registerpublizität des § 15 HGB.</w:t>
      </w:r>
    </w:p>
    <w:p>
      <w:pPr>
        <w:pStyle w:val="Heading2"/>
      </w:pPr>
      <w:r>
        <w:rPr>
          <w:rFonts w:ascii="Times New Roman" w:hAnsi="Times New Roman"/>
        </w:rPr>
        <w:t>Tatsächlicher Prüfrahmen</w:t>
      </w:r>
    </w:p>
    <w:p>
      <w:pPr>
        <w:jc w:val="left"/>
      </w:pPr>
      <w:r>
        <w:t>Die Akte zeigt mehrere Brüche. Der Arbeitsauszug des Gesellschaftsregisters vom 03.02.2026 weist die Gesellschaft als eGbR mit Einzelvertretung aller drei Gesellschafter aus, während das Angebot an die Stadtwerke Wedel „Elbwerft Solar OHG“ und das Website-Impressum sogar „Elbwerft Solar GmbH &amp; Co. KG i.G.“ nennt. Die Prokuraerteilung an Lutz Meinhard vom 10.01.2026 ist schriftlich, aber nicht eingetragen und spricht nur von „allen gewöhnlichen Geschäften“. Die E-Mail der Bank vom 19.05.2026 setzt die Frist 31.08.2026, lässt aber offen, ob eine KG oder eine GmbH &amp; Co. KG verlangt wird. Deshalb wird jedes Dokument mit drei Fragen gelesen: Welche Tatsache wird dadurch belegt? Welche Rechtsfolge soll daran geknüpft werden? Welche Gegenbehauptung — etwa der Verspätungseinwand Soltronics vom 29.04.2026 — ist realistisch?</w:t>
      </w:r>
    </w:p>
    <w:p>
      <w:pPr>
        <w:pStyle w:val="Heading2"/>
      </w:pPr>
      <w:r>
        <w:rPr>
          <w:rFonts w:ascii="Times New Roman" w:hAnsi="Times New Roman"/>
        </w:rPr>
        <w:t>Normprogramm</w:t>
      </w:r>
    </w:p>
    <w:p>
      <w:pPr>
        <w:jc w:val="left"/>
      </w:pPr>
      <w:r>
        <w:t>Die Prüfung beginnt mit der Rechtsnatur der Gesellschaft: Betreibt die Elbwerft Solarplanung ein Handelsgewerbe nach § 1 Abs. 2 HGB, ist sie unabhängig von der Registerlage bereits OHG (§ 105 Abs. 1 HGB); die Eintragung im Gesellschaftsregister ändert daran nichts, erzwingt aber den Statuswechsel nach § 707c BGB und die Anmeldung nach § 106 HGB. Daran schließen sich an: Vertretungsmacht beim Soltronic-Rahmenvertrag (§§ 48, 49, 50 HGB — die interne 75.000-EUR-Grenze aus § 6 des Gesellschaftsvertrags ist Dritten gegenüber unwirksam), Rügeobliegenheit nach § 377 HGB, Kommanditistenhaftung vor Eintragung nach § 176 HGB, Haftsumme und Pflichteinlage nach §§ 171, 172 HGB sowie Firmenrecht nach §§ 17, 18, 37 HGB im Anschluss an die IHK-Beanstandung. Diese Matrix entscheidet, ob die Mandantin anmelden, abwehren, nachfordern oder den Vergleich mit Soltronic, Bank und Investorin vorbereiten muss.</w:t>
      </w:r>
    </w:p>
    <w:p>
      <w:pPr>
        <w:pStyle w:val="Heading2"/>
      </w:pPr>
      <w:r>
        <w:rPr>
          <w:rFonts w:ascii="Times New Roman" w:hAnsi="Times New Roman"/>
        </w:rPr>
        <w:t>Subsumtion I: Ausgangsposition</w:t>
      </w:r>
    </w:p>
    <w:p>
      <w:pPr>
        <w:jc w:val="left"/>
      </w:pPr>
      <w:r>
        <w:t>Die Mandantin hat eine vertretbare, aber nicht risikolose Ausgangsposition. Für den Statuswechsel sprechen der einstimmige Gesellschafterbeschluss, die klare Registerlage und die Unterlagenliste der Notarin Dr. Knoop vom 22.05.2026. Im Soltronic-Streit stützt sie sich darauf, dass die Firmwarefehler von 11 der am 04.04.2026 gelieferten 40 Wechselrichter erst am 22.04.2026 bei der Netzumschaltung im Batteriesystem zutage traten. Schwach ist bisher, dass die Wareneingangskontrolle vom 05.04.2026 nur oberflächlich dokumentiert ist, das ERP-Lagerbuch 17 Tage ohne Prüfung ausweist und der Fehlerbefund lediglich als Technikerchat vorliegt; diese Unterlagen sind praktisch wertvoll, aber prozessual angreifbar.</w:t>
      </w:r>
    </w:p>
    <w:p>
      <w:pPr>
        <w:pStyle w:val="Heading2"/>
      </w:pPr>
      <w:r>
        <w:rPr>
          <w:rFonts w:ascii="Times New Roman" w:hAnsi="Times New Roman"/>
        </w:rPr>
        <w:t>Subsumtion II: Gegenseite und Behördenlogik</w:t>
      </w:r>
    </w:p>
    <w:p>
      <w:pPr>
        <w:jc w:val="left"/>
      </w:pPr>
      <w:r>
        <w:t>Soltronic bestreitet nicht die Lieferung, sondern setzt am Scharnier des § 377 HGB an: beiderseitiges Handelsgeschäft, Untersuchungsobliegenheit bei Wareneingang, Rüge vom 28.04.2026 verspätet. Die Antwort muss deshalb nicht laut, sondern präzise sein und belegen, dass der Firmwarefehler bei ordnungsgemäßer äußerer Untersuchung nicht erkennbar war und die Rüge unverzüglich nach der Entdeckung am 22.04.2026 erfolgte. Das Registergericht wird nach dem vorbereiteten Entwurf der Zwischenverfügung an anderen Scharnieren ansetzen: vorzeitige Verwendung der OHG-Firma, unklarer Unternehmensgegenstand zwischen Planung und Warenhandel, Widerspruch zwischen Gesellschaftsvertrag und Anmeldung sowie Vermischung von Statuswechsel und KG-Beitritt.</w:t>
      </w:r>
    </w:p>
    <w:p>
      <w:pPr>
        <w:pStyle w:val="Heading2"/>
      </w:pPr>
      <w:r>
        <w:rPr>
          <w:rFonts w:ascii="Times New Roman" w:hAnsi="Times New Roman"/>
        </w:rPr>
        <w:t>Beweis- und Dokumentenstrategie</w:t>
      </w:r>
    </w:p>
    <w:p>
      <w:pPr>
        <w:jc w:val="left"/>
      </w:pPr>
      <w:r>
        <w:t>Für jede tragende Behauptung braucht die Akte einen Beleg: Lieferschein vom 04.04.2026 und ERP-Lagerbuch für die Lieferkette, dokumentierter Technikerbefund für den verdeckten Mangel, E-Mail vom 28.04.2026 samt Zugangsnachweis für die Rüge, Prokuraurkunde vom 10.01.2026 und Rahmenvertrag vom 28.02.2026 für die Vertretungsfrage, Gesellschafterbeschluss und Registerauszug für den Statuswechsel. Fehlt ein Dokument — etwa die interne Freigabehistorie zum Rahmenvertrag über 1,28 Mio. EUR —, wird es nachgefordert statt improvisiert. Der Widerspruch zwischen eGbR-Rechnung, OHG-Angebot und KG-Impressum wird in einem Vermerk erklärt und durch die einheitliche Signatur bis zur Eintragung beendet.</w:t>
      </w:r>
    </w:p>
    <w:p>
      <w:pPr>
        <w:pStyle w:val="Heading2"/>
      </w:pPr>
      <w:r>
        <w:rPr>
          <w:rFonts w:ascii="Times New Roman" w:hAnsi="Times New Roman"/>
        </w:rPr>
        <w:t>Taktische Bewertung</w:t>
      </w:r>
    </w:p>
    <w:p>
      <w:pPr>
        <w:jc w:val="left"/>
      </w:pPr>
      <w:r>
        <w:t>Der beste nächste Schritt ist eine gestufte Reaktion. Zuerst wird die Akte geschlossen: Lagerbuch, Zugangsnachweis, unterzeichnete Beschlussfassung und Prokuraurkunde im Original. Zweitens geht das nachfassende Schreiben an Soltronic mit Frist bis zum 03.06.2026 für Ersatzgeräte oder ein Firmware-Update, ohne Präjudiz zur Kaufmannseigenschaft. Drittens wird der Statuswechsel zur OHG angemeldet und der KG-Beitritt der Möller Speicherholding GmbH als gesonderte zweite Stufe vorbereitet, damit die Bankfrist zum 31.08.2026 gehalten und die unbeschränkte Haftung der Kommanditistin nach § 176 HGB vermieden wird. Viertens wird die Klageerwiderung gegen Soltronic als Arbeitsstand fortgeschrieben, der Vergleichsplan — Austausch der 11 fehlerhaften Geräte binnen 14 Tagen, Zahlung der unstreitigen Rechnungen, beidseitiger Präjudizverzicht — aber parallel verfolgt, solange die außergerichtliche Klärung einen echten Nutzen hat.</w:t>
      </w:r>
    </w:p>
    <w:p>
      <w:pPr>
        <w:pStyle w:val="Heading2"/>
      </w:pPr>
      <w:r>
        <w:rPr>
          <w:rFonts w:ascii="Times New Roman" w:hAnsi="Times New Roman"/>
        </w:rPr>
        <w:t>Ergebnis</w:t>
      </w:r>
    </w:p>
    <w:p>
      <w:pPr>
        <w:jc w:val="left"/>
      </w:pPr>
      <w:r>
        <w:t>Die Akte ist nicht mit einem einfachen Ja oder Nein erledigt. Nach Art und Umfang des Geschäftsbetriebs ist die Elbwerft Solarplanung mit hoher Wahrscheinlichkeit bereits Handelsgewerbe und damit OHG; der Statuswechsel ist registerlich sauber nachzuholen und strikt vom KG-Beitritt zu trennen. Die Prokura des Lutz Meinhard wirkt im Außenverhältnis trotz fehlender Eintragung, sodass der Rahmenvertrag über 1,28 Mio. EUR die Gesellschaft voraussichtlich bindet; die interne 75.000-EUR-Grenze hilft nur im Innenverhältnis. Im Rügestreit trägt allein die Linie des verdeckten Mangels mit unverzüglicher Rüge ab Entdeckung. Der vorzeitige OHG-Auftritt ist das gefährlichste Formproblem der Akte, weil er zugleich Firmenrecht, Registerverfahren und die eigene Argumentation gegen § 377 HGB belastet; deshalb haben einheitliche Signatur, getrennte Registerschritte und fristgerechte Antworten an Bank und Soltronic Vorrang.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