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Entscheidungsvorlage</w:t>
      </w:r>
    </w:p>
    <w:p>
      <w:pPr>
        <w:pStyle w:val="Heading2"/>
      </w:pPr>
      <w:r>
        <w:rPr>
          <w:rFonts w:ascii="Times New Roman" w:hAnsi="Times New Roman"/>
        </w:rPr>
        <w:t>Gegenstand</w:t>
      </w:r>
    </w:p>
    <w:p>
      <w:pPr>
        <w:jc w:val="left"/>
      </w:pPr>
      <w:r>
        <w:t>Dieses Aktenstück führt die Unterlagen der Kanzleiakte 2026/LR/ELB-017 zu einer entscheidungsfähigen Prüfungsfassung zusammen. Gegenstand ist die Frage, ob die Emerald Liffey Bank plc mit Sitz in Dublin für ihre Interessenvertretung gegenüber dem Bundesministerium der Finanzen und dem Deutschen Bundestag nur einmal als irischer Rechtsträger oder zusätzlich mit ihrer unselbstständigen Zweigniederlassung Frankfurt am Main (Amtsgericht Frankfurt am Main, HRB 131777) im Lobbyregister erscheinen muss, darf oder soll. Die Akte enthält dazu zwei konkurrierende Registerentwürfe, den Streitvermerk zur Doppelregistrierung, den Vorstandsbeschluss vom 17.05.2026 und den Entwurf einer Anfrage an die registerführende Stelle.</w:t>
      </w:r>
    </w:p>
    <w:p>
      <w:pPr>
        <w:pStyle w:val="Heading2"/>
      </w:pPr>
      <w:r>
        <w:rPr>
          <w:rFonts w:ascii="Times New Roman" w:hAnsi="Times New Roman"/>
        </w:rPr>
        <w:t>Prüfungsprogramm</w:t>
      </w:r>
    </w:p>
    <w:p>
      <w:pPr>
        <w:jc w:val="left"/>
      </w:pPr>
      <w:r>
        <w:t>Der Fall wird entlang folgender Fragen bearbeitet: inhaltliche Erfassung der geplanten Kontakte zu BMF und Bundestag nach § 1 LobbyRG, Registrierungspflicht nach § 2 LobbyRG, Bestimmung des Rechtsträgers zwischen der Dubliner plc und der Frankfurter Zweigniederlassung, Abbildung der deutschen betrauten Personen und Finanzaufwendungen im Eintrag, Zulässigkeit einer zweiten Registrierung der Zweigniederlassung sowie Bußgeldrisiko bei Untererfassung. Für jede Frage wird getrennt geprüft, ob sie nach Aktenlage entscheidungsreif ist, ob Tatsachen fehlen oder ob zunächst nur die schriftliche Anfrage an die registerführende Stelle weiterhilft.</w:t>
      </w:r>
    </w:p>
    <w:p>
      <w:pPr>
        <w:pStyle w:val="Heading3"/>
      </w:pPr>
      <w:r>
        <w:rPr>
          <w:rFonts w:ascii="Times New Roman" w:hAnsi="Times New Roman"/>
        </w:rPr>
        <w:t>1. Tatsachenbasis</w:t>
      </w:r>
    </w:p>
    <w:p>
      <w:pPr>
        <w:jc w:val="left"/>
      </w:pPr>
      <w:r>
        <w:t>Die Akte enthält belastbare Registerdokumente: den Auszug des irischen Companies Registration Office (Company Number 718204, Sitz 42 Custom House Quay, Dublin 1), den Handelsregisterauszug des Amtsgerichts Frankfurt am Main (HRB 131777, Geschäftsanschrift Taunusanlage 12, 60325 Frankfurt am Main), die BaFin- und Passporting-Notiz, das Kontaktlog vom 21. bis 25.05.2026 sowie den Auszug aus den Board Minutes vom 17.05.2026. Nur eingeschränkt verwertbar sind die Telefonnotiz zur unverbindlichen Vorfrage bei der registerführenden Stelle vom 20.05.2026 und der E-Mail-Thread zwischen Dublin und Frankfurt vom 18. und 19.05.2026, weil beide nur interne Einschätzungen und keine verbindlichen Auskünfte wiedergeben. Jede Schlussfolgerung dieses Gutachtens wird deshalb dem jeweiligen Beleg zugeordnet.</w:t>
      </w:r>
    </w:p>
    <w:p>
      <w:pPr>
        <w:jc w:val="left"/>
      </w:pPr>
      <w:r>
        <w:t>Der wichtigste Fehler wäre, die Rechtsträgerfrage schon deshalb als geklärt anzusehen, weil einzelne Dokumente einen amtlichen Anschein tragen. Die Eintragung der Zweigniederlassung im Handelsregister Frankfurt nach §§ 13d ff. HGB begründet keine eigene Rechtspersönlichkeit; die Führung der Niederlassung in den BaFin-Anzeigen als Zweigniederlassung eines irischen CRR-Kreditinstituts ebenso wenig. Auch der zweite Portalentwurf beweist nichts: Jonas Krüger hat ihn nach seiner E-Mail vom 18.05.2026 nur angelegt, weil das Portal eine deutsche Adresse akzeptierte, und dabei versehentlich die Rechtsform „sonstige Organisation“ gewählt. Deshalb wird zunächst eine Beweismatrix geführt.</w:t>
      </w:r>
    </w:p>
    <w:p>
      <w:pPr>
        <w:pStyle w:val="Heading3"/>
      </w:pPr>
      <w:r>
        <w:rPr>
          <w:rFonts w:ascii="Times New Roman" w:hAnsi="Times New Roman"/>
        </w:rPr>
        <w:t>2. Rechtliche Hauptfrage</w:t>
      </w:r>
    </w:p>
    <w:p>
      <w:pPr>
        <w:jc w:val="left"/>
      </w:pPr>
      <w:r>
        <w:t>Die Hauptfrage ist nicht, welche Registervariante die größte deutsche Sichtbarkeit erzeugt. Die Hauptfrage lautet, wer Interessenvertreter im Sinne des § 1 LobbyRG ist und wen die Registrierungspflicht nach § 2 LobbyRG trifft. Träger der Interessenvertretung ist allein die Emerald Liffey Bank plc als einzige juristische Person; die Frankfurter Zweigniederlassung handelt rechtlich als ihr unselbstständiger Teil, auch wenn Jonas Krüger, Sofia Marin und Dr. Carla Heidenreich die meisten deutschen Termine führen. Zu prüfen sind daher Eintragungseinheit, Registerinhalt, Zeitpunkt der Registrierung vor den erfassten Kontakten, Zuordnung der Finanzaufwendungen und die Rechtsfolgen einer fehlerhaften Doppel- oder Untererfassung.</w:t>
      </w:r>
    </w:p>
    <w:p>
      <w:pPr>
        <w:jc w:val="left"/>
      </w:pPr>
      <w:r>
        <w:t>Die Bearbeitung darf dabei nicht in eine bloße Portal-Checkliste abrutschen, weil die Teilfragen voneinander abhängen. Ein formal vollständiger Dublin-Eintrag ist wenig wert, wenn die Frankfurter Geschäftsanschrift Taunusanlage 12, die vier betrauten Personen und die deutschen Finanzaufwendungen darin nicht sichtbar werden; dann steht der Vorwurf der Untertransparenz im Raum. Eine zweite Registrierung der Zweigniederlassung schafft umgekehrt den Anschein eines zweiten Rechtsträgers, verdoppelt Regelungsvorhaben, Personen und Finanzdaten und wäre gegenüber dem Register irreführend. Beides muss vor dem nächsten erfassten Kontakt geklärt sein, denn das Kontaktlog weist bereits ab dem 21.05.2026 schwellenrelevante Kontakte zum BMF-Referat VII B 3 und zu Büros des Finanzausschusses aus.</w:t>
      </w:r>
    </w:p>
    <w:p>
      <w:pPr>
        <w:pStyle w:val="Heading3"/>
      </w:pPr>
      <w:r>
        <w:rPr>
          <w:rFonts w:ascii="Times New Roman" w:hAnsi="Times New Roman"/>
        </w:rPr>
        <w:t>3. Subsumtion nach Aktenstand</w:t>
      </w:r>
    </w:p>
    <w:p>
      <w:pPr>
        <w:jc w:val="left"/>
      </w:pPr>
      <w:r>
        <w:t>Nach Aktenstand ist die inhaltliche Erfassung kaum zweifelhaft: Die Kontakte zum Digital-Euro-Begleitgesetz, zu Instant-Payment-Fraud-Regeln und zur Anpassung des Einlagensicherungs- und Anlegerentschädigungsgesetzes richten sich unmittelbar an das BMF und an Mitglieder sowie Mitarbeiter des Finanzausschusses und sind Interessenvertretung im Sinne des § 1 LobbyRG. Die stärkste Position der Mandantin folgt aus den vor dem internen Streit entstandenen Unterlagen: CRO-Auszug, Handelsregisterauszug und Vorstandsbeschluss vom 17.05.2026 belegen übereinstimmend, dass allein die plc Rechtsträger ist. Schwächer ist der erst am 18.05.2026 aus dem Sichtbarkeitswunsch der Zweigniederlassung entstandene Frankfurter Zweitentwurf.</w:t>
      </w:r>
    </w:p>
    <w:p>
      <w:pPr>
        <w:jc w:val="left"/>
      </w:pPr>
      <w:r>
        <w:t>Die Bearbeitung muss deshalb drei Ebenen unterscheiden:</w:t>
      </w:r>
    </w:p>
    <w:p>
      <w:pPr>
        <w:pStyle w:val="ListBullet"/>
      </w:pPr>
      <w:r>
        <w:t>sichere Tatsachen: CRO-Nummer 718204, HRB 131777, Geschäftsanschrift Taunusanlage 12, Vorstandsbeschluss vom 17.05.2026, fünf im Kontaktlog dokumentierte schwellenrelevante Kontakte vom 21. bis 25.05.2026;</w:t>
      </w:r>
    </w:p>
    <w:p>
      <w:pPr>
        <w:pStyle w:val="ListBullet"/>
      </w:pPr>
      <w:r>
        <w:t>plausible, aber offene Tatsachen: die endgültige Höhe der deutschen Finanzaufwendungen nach Bereinigung der Kostenstellen Dublin Public Policy (38.500 EUR), Frankfurt Branch (61.200 EUR zuzüglich 7.400 EUR Reisekosten Berlin) und Spreebogen Regulatory GmbH (18.000 EUR) sowie die Einordnung des Kanzleihonorars von 9.500 EUR als Interessenvertretung oder reine Registerberatung;</w:t>
      </w:r>
    </w:p>
    <w:p>
      <w:pPr>
        <w:pStyle w:val="ListBullet"/>
      </w:pPr>
      <w:r>
        <w:t>bloße Bewertungen: „wir stehen im HRB und bei der BaFin, also eigener Eintrag“ (Frankfurt) und „one legal person, one registration“ (Dublin) – beides interne Positionen aus dem E-Mail-Thread vom 18. und 19.05.2026, keine Registerauskünfte.</w:t>
      </w:r>
    </w:p>
    <w:p>
      <w:pPr>
        <w:jc w:val="left"/>
      </w:pPr>
      <w:r>
        <w:t>Nur die erste Ebene darf ohne Einschränkung in den Registereintrag und in die Anfrage an die registerführende Stelle. Die zweite Ebene wird als laufende Prüfung gekennzeichnet; das gilt vor allem für die Finanzangaben, die erst nach dem Kostenstellenmapping Dublin/Frankfurt/Berlin gemeldet werden. Die dritte Ebene bleibt in der internen Risikodiskussion; insbesondere darf das Telefonat mit der registerführenden Stelle vom 20.05.2026 nicht als Freigabe einer Doppelregistrierung dargestellt werden.</w:t>
      </w:r>
    </w:p>
    <w:p>
      <w:pPr>
        <w:pStyle w:val="Heading3"/>
      </w:pPr>
      <w:r>
        <w:rPr>
          <w:rFonts w:ascii="Times New Roman" w:hAnsi="Times New Roman"/>
        </w:rPr>
        <w:t>4. Gegenposition</w:t>
      </w:r>
    </w:p>
    <w:p>
      <w:pPr>
        <w:jc w:val="left"/>
      </w:pPr>
      <w:r>
        <w:t>Wird nur Dublin eingetragen, lautet der naheliegende Einwand – aus dem parlamentarischen Raum oder bei einer Prüfung durch die registerführende Stelle – nicht auf einen Einzelfehler, sondern auf Untertransparenz: Die Bank lasse die tatsächlich handelnde Frankfurter Einheit samt Personal und Kosten unsichtbar, obwohl Jonas Krüger und Sofia Marin die Termine bei BMF und Bundestag führen und Dr. Carla Heidenreich die Zweigniederlassung leitet. Wird dagegen zusätzlich die Zweigniederlassung registriert, lautet der Einwand umgekehrt, die Bank erzeuge einen irreführenden zweiten Rechtsträger und weise dieselben Personen, Vorhaben und Aufwendungen doppelt aus. Beide Einwände setzen weniger am einzelnen Dokument als am Gesamtbild des Eintrags an.</w:t>
      </w:r>
    </w:p>
    <w:p>
      <w:pPr>
        <w:jc w:val="left"/>
      </w:pPr>
      <w:r>
        <w:t>Dagegen hilft keine schroffe Abwehrformel, sondern die nüchterne Registerlogik: Rechtsträger und Eintragungseinheit ist die Emerald Liffey Bank plc; die Zweigniederlassung Frankfurt wird im Eintrag über die deutsche Geschäftsanschrift, die Tätigkeitsbeschreibung, die vier betrauten Personen und die deutschen Kostenstellen sichtbar gemacht; die offene Einordnungsfrage wird der registerführenden Stelle schriftlich vorgelegt, wie es der Vorstandsbeschluss vom 17.05.2026 ohnehin verlangt, bevor ein zweiter Eintrag auch nur erwogen wird.</w:t>
      </w:r>
    </w:p>
    <w:p>
      <w:pPr>
        <w:pStyle w:val="Heading3"/>
      </w:pPr>
      <w:r>
        <w:rPr>
          <w:rFonts w:ascii="Times New Roman" w:hAnsi="Times New Roman"/>
        </w:rPr>
        <w:t>5. Handlungsempfehlung</w:t>
      </w:r>
    </w:p>
    <w:p>
      <w:pPr>
        <w:jc w:val="left"/>
      </w:pPr>
      <w:r>
        <w:t>Empfohlen wird folgender Ablauf:</w:t>
      </w:r>
    </w:p>
    <w:p>
      <w:pPr>
        <w:pStyle w:val="ListNumber"/>
      </w:pPr>
      <w:r>
        <w:t>CRO-Auszug, Handelsregisterauszug HRB 131777, BaFin-Notiz, Kontaktlog und beide Registerentwürfe als Freigabeakte nummerieren und gegen weitere Änderungen sichern.</w:t>
      </w:r>
    </w:p>
    <w:p>
      <w:pPr>
        <w:pStyle w:val="ListNumber"/>
      </w:pPr>
      <w:r>
        <w:t>Fristenkalender anlegen: Die Registrierung der plc ist vor dem nächsten erfassten Kontakt abzuschließen; verantwortlich für den Eintrag ist Aisling Byrne, für die Rechtsprüfung Dr. Mara Voss.</w:t>
      </w:r>
    </w:p>
    <w:p>
      <w:pPr>
        <w:pStyle w:val="ListNumber"/>
      </w:pPr>
      <w:r>
        <w:t>Die schriftliche Anfrage an die registerführende Stelle nach dem Kanzleientwurf absenden; die telefonische Vorfrage vom 20.05.2026 ersetzt sie nicht und darf nicht als Freigabe zitiert werden.</w:t>
      </w:r>
    </w:p>
    <w:p>
      <w:pPr>
        <w:pStyle w:val="ListNumber"/>
      </w:pPr>
      <w:r>
        <w:t>Den Primärentwurf Dublin fertigstellen: Frankfurter Geschäftsanschrift Taunusanlage 12, betraute Personen Byrne, Heidenreich, Krüger und Marin, beide Regelungsvorhaben sowie die bereinigten deutschen Finanzaufwendungen einarbeiten.</w:t>
      </w:r>
    </w:p>
    <w:p>
      <w:pPr>
        <w:pStyle w:val="ListNumber"/>
      </w:pPr>
      <w:r>
        <w:t>Den Frankfurter Zweitentwurf sperren; er wird ohne ausdrückliche schriftliche Bestätigung der registerführenden Stelle nicht abgesendet, zumal er die Rechtsform fehlerhaft als „sonstige Organisation“ führt.</w:t>
      </w:r>
    </w:p>
    <w:p>
      <w:pPr>
        <w:pStyle w:val="ListNumber"/>
      </w:pPr>
      <w:r>
        <w:t>Für die Termine bei BMF-Referat VII B 3 und im Bundestag einheitliche Offenlegungssätze verwenden, die die Registrierung der plc und die Rolle der Frankfurter Zweigniederlassung zutreffend benennen.</w:t>
      </w:r>
    </w:p>
    <w:p>
      <w:pPr>
        <w:pStyle w:val="Heading3"/>
      </w:pPr>
      <w:r>
        <w:rPr>
          <w:rFonts w:ascii="Times New Roman" w:hAnsi="Times New Roman"/>
        </w:rPr>
        <w:t>6. Entwurf einer Entscheidungsvorlage</w:t>
      </w:r>
    </w:p>
    <w:p>
      <w:pPr>
        <w:jc w:val="left"/>
      </w:pPr>
      <w:r>
        <w:t>Option A: Registrierung nur der Emerald Liffey Bank plc mit knappem Eintrag ohne besondere Hervorhebung Frankfurts. Vorteil: rechtsträgergenau, da nur die plc juristische Person ist, und vor den anstehenden Kontakten schnell umsetzbar. Nachteil: Die deutsche Präsenz mit eigener Leitung, eigenem Personal und den Frankfurter Kostenstellen bliebe im Register nahezu unsichtbar; der Untertransparenz-Einwand aus dem Streitvermerk bliebe bestehen.</w:t>
      </w:r>
    </w:p>
    <w:p>
      <w:pPr>
        <w:jc w:val="left"/>
      </w:pPr>
      <w:r>
        <w:t>Option B: Registrierung allein der plc, aber mit vollständiger Abbildung Frankfurts – deutsche Geschäftsanschrift, alle vier betrauten Personen, deutsche Kostenstellen und ausdrückliche Nennung der Zweigniederlassung in der Tätigkeitsbeschreibung –, flankiert durch die schriftliche Anfrage an die registerführende Stelle. Vorteil: transparent und rechtsträgergenau zugleich; entspricht dem Arbeitsvorschlag des Streitvermerks und dem Vorstandsbeschluss vom 17.05.2026. Nachteil: setzt die vorherige Konsolidierung der Kostenstellen Dublin, Frankfurt und Berlin voraus, damit keine Beträge doppelt oder falsch zugeordnet gemeldet werden.</w:t>
      </w:r>
    </w:p>
    <w:p>
      <w:pPr>
        <w:jc w:val="left"/>
      </w:pPr>
      <w:r>
        <w:t>Option C: zusätzliche eigene Registrierung der Emerald Liffey Bank plc Zweigniederlassung Frankfurt am Main nach dem Zweitentwurf. Vorteil: maximale deutsche Sichtbarkeit gegenüber Bundestag und BMF. Nachteil: Die Zweigniederlassung ist keine juristische Person; der Eintrag schüfe den Anschein eines zweiten Rechtsträgers, wiese dieselben Personen, Vorhaben und Aufwendungen doppelt aus und wäre irreführend – zumal der Entwurf die Rechtsform fehlerhaft als „sonstige Organisation“ führt.</w:t>
      </w:r>
    </w:p>
    <w:p>
      <w:pPr>
        <w:jc w:val="left"/>
      </w:pPr>
      <w:r>
        <w:t>Vorzugswürdig ist Option B. Sie erfüllt die Registrierungspflicht der plc nach § 2 LobbyRG rechtzeitig vor den erfassten Kontakten, macht die Frankfurter Zweigniederlassung ohne Doppelregistrierung sichtbar, vermeidet die doppelte Meldung von Personen und Finanzdaten und hält die Einordnungsfrage über die Anfrage an die registerführende Stelle offen, ohne vollendete Tatsachen zu schaffen.</w:t>
      </w:r>
    </w:p>
    <w:p>
      <w:pPr>
        <w:pStyle w:val="Heading2"/>
      </w:pPr>
      <w:r>
        <w:rPr>
          <w:rFonts w:ascii="Times New Roman" w:hAnsi="Times New Roman"/>
        </w:rPr>
        <w:t>Offene Nachforderungen</w:t>
      </w:r>
    </w:p>
    <w:p>
      <w:pPr>
        <w:pStyle w:val="ListBullet"/>
      </w:pPr>
      <w:r>
        <w:t>vollständige Board Minutes vom 17.05.2026 statt des bloßen Auszugs, einschließlich der Freigabekette für den Registereintrag;</w:t>
      </w:r>
    </w:p>
    <w:p>
      <w:pPr>
        <w:pStyle w:val="ListBullet"/>
      </w:pPr>
      <w:r>
        <w:t>Nachweis, wann die Policy Note zum Digital-Euro-Begleitgesetz an das BMF-Referat VII B 3 tatsächlich versandt wurde;</w:t>
      </w:r>
    </w:p>
    <w:p>
      <w:pPr>
        <w:pStyle w:val="ListBullet"/>
      </w:pPr>
      <w:r>
        <w:t>schriftliche Freigaben der vier betrauten Personen Byrne, Heidenreich, Krüger und Marin zur Veröffentlichung ihrer Daten im Register;</w:t>
      </w:r>
    </w:p>
    <w:p>
      <w:pPr>
        <w:pStyle w:val="ListBullet"/>
      </w:pPr>
      <w:r>
        <w:t>interne Freigabehistorie beider Portalentwürfe, insbesondere wer den Frankfurter Zweitentwurf angelegt und wer ihn gestoppt hat;</w:t>
      </w:r>
    </w:p>
    <w:p>
      <w:pPr>
        <w:pStyle w:val="ListBullet"/>
      </w:pPr>
      <w:r>
        <w:t>bereinigte Zahlenbasis der deutschen Finanzaufwendungen aus dem Kostenstellenmapping Dublin/Frankfurt/Berlin, einschließlich der Einordnung des Honorars der Kanzlei Lindenhafen von 9.500 EUR;</w:t>
      </w:r>
    </w:p>
    <w:p>
      <w:pPr>
        <w:pStyle w:val="ListBullet"/>
      </w:pPr>
      <w:r>
        <w:t>Leistungsbeschreibung der Spreebogen Regulatory GmbH (18.000 EUR) zur Abgrenzung reiner Terminorganisation von eigener Interessenvertretung;</w:t>
      </w:r>
    </w:p>
    <w:p>
      <w:pPr>
        <w:pStyle w:val="ListBullet"/>
      </w:pPr>
      <w:r>
        <w:t>Bestätigung, dass der abgebrochene Frankfurter Portalentwurf gelöscht oder dauerhaft gesperrt ist und nicht versehentlich abgesendet werden kann.</w:t>
      </w:r>
    </w:p>
    <w:p>
      <w:pPr>
        <w:pStyle w:val="Heading2"/>
      </w:pPr>
      <w:r>
        <w:rPr>
          <w:rFonts w:ascii="Times New Roman" w:hAnsi="Times New Roman"/>
        </w:rPr>
        <w:t>Ergebnis</w:t>
      </w:r>
    </w:p>
    <w:p>
      <w:pPr>
        <w:jc w:val="left"/>
      </w:pPr>
      <w:r>
        <w:t>Die Akte ist bearbeitbar, aber noch nicht vollständig entscheidungsreif. Rechtlich trägt nach Aktenlage allein die Registrierung der Emerald Liffey Bank plc als einzigem Rechtsträger, mit sichtbarer Abbildung der Frankfurter Zweigniederlassung im Eintrag; eine zweite Registrierung der Zweigniederlassung unterbleibt jedenfalls bis zur schriftlichen Antwort der registerführenden Stelle. Nächste Schritte sind der Versand der Anfrage an die registerführende Stelle, die Fertigstellung des Dublin-Primärentwurfs vor weiteren erfassten Kontakten und die Bereinigung der Finanzdaten; erst danach wird die endgültige Fassung freigegeben.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