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Entscheidungsvorlage</w:t>
      </w:r>
    </w:p>
    <w:p>
      <w:pPr>
        <w:pStyle w:val="Heading2"/>
      </w:pPr>
      <w:r>
        <w:rPr>
          <w:rFonts w:ascii="Times New Roman" w:hAnsi="Times New Roman"/>
        </w:rPr>
        <w:t>Gegenstand</w:t>
      </w:r>
    </w:p>
    <w:p>
      <w:pPr>
        <w:jc w:val="left"/>
      </w:pPr>
      <w:r>
        <w:t>Dieses Aktenstück führt die Unterlagen zu Projekt Nachtfalter — dem geplanten Erwerb der Heidelberger Präzisionstechnik-Gruppe (HPT) durch Rheintor Capital Fund III GmbH &amp; Co. KG über die Nachtfalter Erwerbs GmbH, Frankfurt am Main, von der Familie Waldhausen und der Südwest Industrieholding AG — zu einer entscheidungsfähigen Prüfungsfassung zusammen. Die Akte ist in ihrem jetzigen Stand fragmentarisch: Die Schuldscheinbedingungen vom 14.09.2022 liegen nur als Auszug vor, das Facility Agreement (Amendment and Restatement vom 03.02.2024) ist nicht als executed Version bestätigt, und das Portfolio Tape der Kundenfinanzierungen weist bei 119 von 180 Einträgen keine Vertragsart aus. Dieses Langgutachten schließt diese Lücken, soweit der Aktenstand es zulässt, und benennt die verbleibenden Nachforderungen.</w:t>
      </w:r>
    </w:p>
    <w:p>
      <w:pPr>
        <w:pStyle w:val="Heading2"/>
      </w:pPr>
      <w:r>
        <w:rPr>
          <w:rFonts w:ascii="Times New Roman" w:hAnsi="Times New Roman"/>
        </w:rPr>
        <w:t>Prüfungsprogramm</w:t>
      </w:r>
    </w:p>
    <w:p>
      <w:pPr>
        <w:jc w:val="left"/>
      </w:pPr>
      <w:r>
        <w:t>Der Fall wird entlang der vier Bausteine des Partnerauftrags vom 16.05.2026 bearbeitet: erstens das Schuldscheindarlehen der HPT über 42 Mio. EUR in drei Tranchen (Übertragungsmechanik, Zustimmungsvorbehalt, Zahlstellenregister), zweitens die LMA-basierte Akquisitionsfazilität des Altgesellschafters (Change of Control, Mandatory Prepayment, Security Release, anhängender Hedge-Vertrag), drittens das NPL-Portfolio aus 27 notleidenden von 180 Kundenfinanzierungen (Gesamtforderung 6,8 Mio. EUR, erwartete Recovery 2,1 Mio. EUR; Kreditzweitmarktgesetz, DSGVO, RDG, Sicherheiten an Maschinen), viertens der Management-Roll-over von 12 % (Leaver-Regeln, Vesting, steuerliche Struktur). Quer dazu liegen die EBITDA-Differenz (28,4 Mio. EUR laut Verkäufer gegenüber 22,1 Mio. EUR laut Financial DD) und das Signing-Ziel Mitte Juni 2026. Für jedes Thema wird getrennt gefragt, ob es entscheidungsreif ist, ob Tatsachen fehlen oder ob nur ein Risikovermerk möglich ist.</w:t>
      </w:r>
    </w:p>
    <w:p>
      <w:pPr>
        <w:pStyle w:val="Heading3"/>
      </w:pPr>
      <w:r>
        <w:rPr>
          <w:rFonts w:ascii="Times New Roman" w:hAnsi="Times New Roman"/>
        </w:rPr>
        <w:t>1. Tatsachenbasis</w:t>
      </w:r>
    </w:p>
    <w:p>
      <w:pPr>
        <w:jc w:val="left"/>
      </w:pPr>
      <w:r>
        <w:t>Die Akte enthält mehrere Beweistypen von unterschiedlichem Gewicht. Verwertbar sind die Schuldscheinbedingungen vom 14.09.2022 (86 Seiten, Datenraum 02.07.014), die Zahlstellenkorrespondenz zum Consent vom 22.11.2025, das Facility Agreement vom 03.02.2024 (412 Seiten), das Servicing Agreement vom 18.06.2019, die Sicherheitenliste zum Stand 30.04.2026 und das Portfolio Tape zum 30.04.2026. Nur eingeschränkt verwertbar sind das Management-Call-Transkript, die als Scan vorliegenden Unterschriftsseiten der Finanzierungsdokumente und die Tabellenspalte 'Customer Finance' ohne Vertragsartangabe. Deshalb ist jede rechtliche Schlussfolgerung in diesem Gutachten mit dem jeweiligen Dokument verknüpft.</w:t>
      </w:r>
    </w:p>
    <w:p>
      <w:pPr>
        <w:jc w:val="left"/>
      </w:pPr>
      <w:r>
        <w:t>Der wichtigste Fehler wäre, den Fall schon deshalb als geklärt anzusehen, weil ein Dokument einen prägnanten Titel trägt. Das Facility Agreement heißt 'Amendment and Restatement', ist aber nicht als unterzeichnete Fassung bestätigt; ein Markup im Datenraum ersetzt keine executed Version. Die Aussage des CFO, das Schuldscheindarlehen sei 'frei handelbar', beruht nach dem Transkript auf einer Erinnerung an die letzte Refinanzierung, nicht auf dem Klauseltext. Deshalb wird zunächst eine Beweismatrix geführt, die jede Transferaussage einem Dokument zuordnet.</w:t>
      </w:r>
    </w:p>
    <w:p>
      <w:pPr>
        <w:pStyle w:val="Heading3"/>
      </w:pPr>
      <w:r>
        <w:rPr>
          <w:rFonts w:ascii="Times New Roman" w:hAnsi="Times New Roman"/>
        </w:rPr>
        <w:t>2. Rechtliche Hauptfrage</w:t>
      </w:r>
    </w:p>
    <w:p>
      <w:pPr>
        <w:jc w:val="left"/>
      </w:pPr>
      <w:r>
        <w:t>Die Hauptfrage ist nicht, ob der Erwerb der HPT wirtschaftlich sinnvoll ist. Die Hauptfrage lautet, ob Signing bis Mitte Juni 2026 und ein Closing zum 12.06.2026 auf der vorhandenen Tatsachengrundlage rechtlich tragen. Dafür sind einzeln zu prüfen: die Übertragungsmechanik der drei Schuldscheintranchen (Abtretung nach §§ 398 ff. BGB oder Vertragsübernahme, jeweils mit Notice- und Zustimmungserfordernissen gegenüber der Zahlstelle), die Change-of-Control- und Prepayment-Klauseln der LMA-Fazilität, die Anwendbarkeit des Kreditzweitmarktgesetzes und der DSGVO auf den NPL-Transfer sowie die Kapitalerhaltungsgrenzen der §§ 30, 31 GmbHG bei einer Besicherung der Akquisitionsfinanzierung durch die Zielgesellschaften.</w:t>
      </w:r>
    </w:p>
    <w:p>
      <w:pPr>
        <w:jc w:val="left"/>
      </w:pPr>
      <w:r>
        <w:t>Die Prüfung darf nicht in eine bloße Checkliste abrutschen, weil die Teilfragen voneinander abhängen. Das Mandatory Prepayment der Altfazilität setzt einen Security Release voraus, den der Security Agent erst nach einem Update des Sicherheitenpakets freigeben will; am selben Vertrag hängt ein Hedge, dessen Beendigung Break Costs auslöst. Die Strukturentscheidung zum NPL-Portfolio wirkt auf die Locked Box zum 31.12.2025 beziehungsweise den Working-Capital-Mechanismus zurück. Und der Vendor Loan ist in der Akte widersprüchlich dokumentiert — 25 Mio. EUR laut Term Sheet, 15 Mio. EUR laut Roll-over-Vermerk —, was die Equity Bridge und damit die Bewertung der Managementbeteiligung unmittelbar verändert.</w:t>
      </w:r>
    </w:p>
    <w:p>
      <w:pPr>
        <w:pStyle w:val="Heading3"/>
      </w:pPr>
      <w:r>
        <w:rPr>
          <w:rFonts w:ascii="Times New Roman" w:hAnsi="Times New Roman"/>
        </w:rPr>
        <w:t>3. Subsumtion nach Aktenstand</w:t>
      </w:r>
    </w:p>
    <w:p>
      <w:pPr>
        <w:jc w:val="left"/>
      </w:pPr>
      <w:r>
        <w:t>Nach derzeitigem Stand spricht vieles dafür, dass der Erwerb strukturierbar ist, aber kein Baustein abschlussreif dokumentiert ist. Die stärkste Position ergibt sich aus den vor dem Mandat entstandenen Unterlagen: den Schuldscheinbedingungen von 2022, dem Servicing Agreement von 2019 und der Zahlstellenkorrespondenz von 2025. Schwächer sind die erst im Prozess entstandenen Angaben, insbesondere die Einschätzungen des Managements im Call vom Mai 2026 und das unvollständige Portfolio Tape.</w:t>
      </w:r>
    </w:p>
    <w:p>
      <w:pPr>
        <w:jc w:val="left"/>
      </w:pPr>
      <w:r>
        <w:t>Die Bearbeitung muss deshalb drei Ebenen unterscheiden:</w:t>
      </w:r>
    </w:p>
    <w:p>
      <w:pPr>
        <w:pStyle w:val="ListBullet"/>
      </w:pPr>
      <w:r>
        <w:t>sichere Tatsachen: drei Schuldscheintranchen über zusammen 42 Mio. EUR, Registerführung durch die Zahlstelle, 27 notleidende Kundenforderungen über 6,8 Mio. EUR, Datenraumstand 18.05.2026 mit 482 Dateien;</w:t>
      </w:r>
    </w:p>
    <w:p>
      <w:pPr>
        <w:pStyle w:val="ListBullet"/>
      </w:pPr>
      <w:r>
        <w:t>plausible, aber offene Tatsachen: Zustimmungsfreiheit des Schuldscheintransfers an einen BidCo-nahen Erwerber, executed-Status des Facility Agreement, Verbraucherstatus der vier Einzelunternehmer im NPL-Portfolio, tatsächliche Höhe des Vendor Loan;</w:t>
      </w:r>
    </w:p>
    <w:p>
      <w:pPr>
        <w:pStyle w:val="ListBullet"/>
      </w:pPr>
      <w:r>
        <w:t>bloße Bewertungen: 'frei handelbar', 'die Zahlstelle war damals recht entspannt', 'operativ klein', 'wird vor Closing bereinigt'.</w:t>
      </w:r>
    </w:p>
    <w:p>
      <w:pPr>
        <w:jc w:val="left"/>
      </w:pPr>
      <w:r>
        <w:t>Nur die erste Ebene darf ohne Einschränkung in Schreiben an Zahlstelle, Facility Agent oder Verkäuferseite. Die zweite Ebene wird über das Q&amp;A-Portal als offener Prüfstand adressiert. Die dritte Ebene gehört in die interne Risikodiskussion und in keinen Termsheet-Call.</w:t>
      </w:r>
    </w:p>
    <w:p>
      <w:pPr>
        <w:pStyle w:val="Heading3"/>
      </w:pPr>
      <w:r>
        <w:rPr>
          <w:rFonts w:ascii="Times New Roman" w:hAnsi="Times New Roman"/>
        </w:rPr>
        <w:t>4. Gegenposition</w:t>
      </w:r>
    </w:p>
    <w:p>
      <w:pPr>
        <w:jc w:val="left"/>
      </w:pPr>
      <w:r>
        <w:t>Die Verkäuferseite wird voraussichtlich nicht einzelne Klauseln bestreiten, sondern die Finanzierungsthemen insgesamt als bloßen 'Finanzierungsanhang' abtun und auf dem Adjusted EBITDA von 28,4 Mio. EUR beharren. Die Schuldscheingläubiger können sich bei einem Kontrollwechsel auf Zustimmungsvorbehalte und etwaige Kündigungs- oder Make-Whole-Rechte berufen; der Security Agent macht den Release von einem vorherigen Update des Sicherheitenpakets abhängig. Diese Positionen sind ernst zu nehmen, weil sie weniger am einzelnen Dokument als am Zeitplan ansetzen: Jeder Consent-Vorbehalt kann das Closing zum 12.06.2026 verschieben.</w:t>
      </w:r>
    </w:p>
    <w:p>
      <w:pPr>
        <w:jc w:val="left"/>
      </w:pPr>
      <w:r>
        <w:t>Dagegen hilft keine schroffe Abwehrformel. Besser ist eine nüchterne Darstellung: Belegt sind Tranchenstruktur und Registerführung; geprüft wird die Change-of-Control-Korrespondenz zu den Tranchen B und D (Q&amp;A 117, Verkäuferseite Dr. Ines Kappel, Zieltermin 19.05.2026); nachgeliefert werden die Einzelverträge zu den sechs größten notleidenden Forderungen (Q&amp;A 124, Henning Völker, 20.05.2026); bestritten wird die EBITDA-Darstellung des Verkäufers; vorbehalten bleibt die Einordnung des NPL-Transfers nach dem Kreditzweitmarktgesetz.</w:t>
      </w:r>
    </w:p>
    <w:p>
      <w:pPr>
        <w:pStyle w:val="Heading3"/>
      </w:pPr>
      <w:r>
        <w:rPr>
          <w:rFonts w:ascii="Times New Roman" w:hAnsi="Times New Roman"/>
        </w:rPr>
        <w:t>5. Handlungsempfehlung</w:t>
      </w:r>
    </w:p>
    <w:p>
      <w:pPr>
        <w:jc w:val="left"/>
      </w:pPr>
      <w:r>
        <w:t>Empfohlen wird folgender Ablauf:</w:t>
      </w:r>
    </w:p>
    <w:p>
      <w:pPr>
        <w:pStyle w:val="ListNumber"/>
      </w:pPr>
      <w:r>
        <w:t>Vollständige Schuldscheinbedingungen aller drei Tranchen und das aktuelle Darlehensgeberregister bei der Zahlstelle anfordern; Q&amp;A 117 zur Change-of-Control-Korrespondenz nachhalten.</w:t>
      </w:r>
    </w:p>
    <w:p>
      <w:pPr>
        <w:pStyle w:val="ListNumber"/>
      </w:pPr>
      <w:r>
        <w:t>Consent- und Notice-Matrix für die drei Tranchen mit Fristen, Formerfordernissen und Verantwortlichen erstellen.</w:t>
      </w:r>
    </w:p>
    <w:p>
      <w:pPr>
        <w:pStyle w:val="ListNumber"/>
      </w:pPr>
      <w:r>
        <w:t>Agent Call zur LMA-Fazilität ansetzen: executed Version, Transfer Certificate Form, Security Release am Closing, Hedge-Beendigung samt Break Costs.</w:t>
      </w:r>
    </w:p>
    <w:p>
      <w:pPr>
        <w:pStyle w:val="ListNumber"/>
      </w:pPr>
      <w:r>
        <w:t>Portfolio Tape vervollständigen lassen (Vertragsart, Schuldnerstatus, Sicherheiten, Mahnstand, Datenschutzinformation für alle 180 Kundenfinanzierungen); Q&amp;A 124 bei Henning Völker nachhalten.</w:t>
      </w:r>
    </w:p>
    <w:p>
      <w:pPr>
        <w:pStyle w:val="ListNumber"/>
      </w:pPr>
      <w:r>
        <w:t>Screening des NPL-Transfers nach Kreditzweitmarktgesetz, DSGVO und RDG vor Abgabe des Binding Offer abschließen.</w:t>
      </w:r>
    </w:p>
    <w:p>
      <w:pPr>
        <w:pStyle w:val="ListNumber"/>
      </w:pPr>
      <w:r>
        <w:t>Heads of Terms zur Managementbeteiligung mit Dr. Trautner, Frau Wessels und Herrn Vohwinkel spätestens eine Woche vor Signing fixieren; nur die intern freigegebene Equity Bridge kommunizieren.</w:t>
      </w:r>
    </w:p>
    <w:p>
      <w:pPr>
        <w:pStyle w:val="Heading3"/>
      </w:pPr>
      <w:r>
        <w:rPr>
          <w:rFonts w:ascii="Times New Roman" w:hAnsi="Times New Roman"/>
        </w:rPr>
        <w:t>6. Entwurf einer Entscheidungsvorlage</w:t>
      </w:r>
    </w:p>
    <w:p>
      <w:pPr>
        <w:jc w:val="left"/>
      </w:pPr>
      <w:r>
        <w:t>Option A: Binding Offer ohne Finanzierungs-Conditions. Vorteil: maximales Tempo, Signing Mitte Juni bleibt sicher erreichbar. Nachteil: Rheintor trägt das volle Risiko aus Schuldschein-Kündigungsrechten, Mandatory Prepayment und einem ungeklärten NPL-Portfolio.</w:t>
      </w:r>
    </w:p>
    <w:p>
      <w:pPr>
        <w:jc w:val="left"/>
      </w:pPr>
      <w:r>
        <w:t>Option B: Binding Offer mit Finance- und Regulatory-Conditions sowie klarer SPA-Behandlung des NPL-Portfolios (Carve-out an den Verkäufer oder Verbleib mit Indemnity und Tape-Nachbesserung). Vorteil: glaubwürdig und verhandelbar, ohne die Rechtsposition aufzugeben. Nachteil: erfordert bis zum Angebot eine abgestimmte Consent-Matrix und die Strukturentscheidung zum Portfolio.</w:t>
      </w:r>
    </w:p>
    <w:p>
      <w:pPr>
        <w:jc w:val="left"/>
      </w:pPr>
      <w:r>
        <w:t>Option C: Signing verschieben, bis executed Facility Agreement, vollständige Schuldscheinbedingungen und bereinigtes Portfolio Tape vorliegen. Vorteil: geringstes Rechtsrisiko. Nachteil: das Closing-Datum 12.06.2026 rutscht, und das Commitment der Mandated Lead Arranger Bank steht neu zur Verhandlung.</w:t>
      </w:r>
    </w:p>
    <w:p>
      <w:pPr>
        <w:jc w:val="left"/>
      </w:pPr>
      <w:r>
        <w:t>Derzeit ist Option B vorzugswürdig. Sie deckt sich mit dem Red-Flag-Report und dem Board Paper, hält den Zeitplan des Sponsors und zwingt die Verkäuferseite zugleich, die offenen Uploads aus dem Q&amp;A-Portal termingerecht zu liefern.</w:t>
      </w:r>
    </w:p>
    <w:p>
      <w:pPr>
        <w:pStyle w:val="Heading2"/>
      </w:pPr>
      <w:r>
        <w:rPr>
          <w:rFonts w:ascii="Times New Roman" w:hAnsi="Times New Roman"/>
        </w:rPr>
        <w:t>Offene Nachforderungen</w:t>
      </w:r>
    </w:p>
    <w:p>
      <w:pPr>
        <w:pStyle w:val="ListBullet"/>
      </w:pPr>
      <w:r>
        <w:t>vollständige Schuldscheinbedingungen aller drei Tranchen einschließlich Übertragungs-, Change-of-Control- und Pari-passu-Klauseln (bislang nur Auszug, Datenraum 02.07.014);</w:t>
      </w:r>
    </w:p>
    <w:p>
      <w:pPr>
        <w:pStyle w:val="ListBullet"/>
      </w:pPr>
      <w:r>
        <w:t>executed Fassung des Facility Agreement vom 03.02.2024 samt Transfer Certificate Form;</w:t>
      </w:r>
    </w:p>
    <w:p>
      <w:pPr>
        <w:pStyle w:val="ListBullet"/>
      </w:pPr>
      <w:r>
        <w:t>aktuelles Darlehensgeberregister und benannter Ansprechpartner der Zahlstelle;</w:t>
      </w:r>
    </w:p>
    <w:p>
      <w:pPr>
        <w:pStyle w:val="ListBullet"/>
      </w:pPr>
      <w:r>
        <w:t>vollständiges Portfolio Tape mit Vertragsart, Verbraucherstatus, Sicherheiten und Mahnstand für alle 180 Kundenfinanzierungen;</w:t>
      </w:r>
    </w:p>
    <w:p>
      <w:pPr>
        <w:pStyle w:val="ListBullet"/>
      </w:pPr>
      <w:r>
        <w:t>Equity Bridge des Sponsors zur Roll-over-Bewertung sowie Klärung des Widerspruchs zur Vendor-Loan-Höhe (25 Mio. EUR laut Term Sheet, 15 Mio. EUR laut Roll-over-Vermerk);</w:t>
      </w:r>
    </w:p>
    <w:p>
      <w:pPr>
        <w:pStyle w:val="ListBullet"/>
      </w:pPr>
      <w:r>
        <w:t>Hedge-Dokumentation und Break-Cost-Berechnung zur Altfazilität;</w:t>
      </w:r>
    </w:p>
    <w:p>
      <w:pPr>
        <w:pStyle w:val="ListBullet"/>
      </w:pPr>
      <w:r>
        <w:t>QoE-Abgleich zur EBITDA-Differenz von 28,4 gegenüber 22,1 Mio. EUR.</w:t>
      </w:r>
    </w:p>
    <w:p>
      <w:pPr>
        <w:pStyle w:val="Heading2"/>
      </w:pPr>
      <w:r>
        <w:rPr>
          <w:rFonts w:ascii="Times New Roman" w:hAnsi="Times New Roman"/>
        </w:rPr>
        <w:t>Ergebnis</w:t>
      </w:r>
    </w:p>
    <w:p>
      <w:pPr>
        <w:jc w:val="left"/>
      </w:pPr>
      <w:r>
        <w:t>Projekt Nachtfalter ist bearbeitbar, aber noch nicht entscheidungsreif. Der juristisch richtige nächste Schritt ist eine kontrollierte Außenkommunikation gegenüber Zahlstelle und Facility Agent bei gleichzeitiger harter interner Beweisordnung entlang der Q&amp;A-Nachforderungen 117, 124 und 131. Das Binding Offer sollte nur mit Finance- und Regulatory-Conditions abgegeben werden; das Signing-Ziel Mitte Juni 2026 ist haltbar, wenn Schuldschein-Consents und Agent-Abstimmung ab sofort parallel laufen.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