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Private-Equity-Buyout Heidelberg</w:t>
      </w:r>
    </w:p>
    <w:p>
      <w:pPr>
        <w:pStyle w:val="Heading2"/>
      </w:pPr>
      <w:r>
        <w:rPr>
          <w:rFonts w:ascii="Times New Roman" w:hAnsi="Times New Roman"/>
        </w:rPr>
        <w:t>Auftrag und Aktenlage</w:t>
      </w:r>
    </w:p>
    <w:p>
      <w:pPr>
        <w:jc w:val="left"/>
      </w:pPr>
      <w:r>
        <w:t>Dieses Aktenstück ist als zusammenhängendes Arbeitsgutachten zum Partnerauftrag von Dr. Henrike Plessow vom 16.05.2026 angelegt. Es ordnet nicht nur die Unterlagen zu Projekt Nachtfalter — dem Erwerb der Heidelberger Präzisionstechnik-Gruppe (Enterprise Value 224 Mio. EUR, Locked Box 31.12.2025) durch Rheintor Capital über die Nachtfalter Erwerbs GmbH —, sondern formuliert die rechtliche Prüfung so weit aus, dass Zahlstellenschreiben, Agent Call, Q&amp;A-Nachforderungen und Binding Offer daraus unmittelbar entwickelt werden können. Der Kern liegt bei der Finanzierungsstruktur (84 Mio. EUR Sponsor Equity, 130 Mio. EUR Senior/Unitranche, 25 Mio. EUR Vendor Loan), dem Schuldscheindarlehen über 42 Mio. EUR, dem NPL-Portfolio aus Kundenfinanzierungen und dem Management-Roll-over von 12 %. Einschlägige Normräume sind das BGB-Darlehens- und Abtretungsrecht, das Kreditzweitmarktgesetz, die DSGVO, das RDG, die Kapitalerhaltung nach §§ 30, 31 GmbHG sowie die englischrechtliche LMA-Mechanik der Altfazilität.</w:t>
      </w:r>
    </w:p>
    <w:p>
      <w:pPr>
        <w:pStyle w:val="Heading2"/>
      </w:pPr>
      <w:r>
        <w:rPr>
          <w:rFonts w:ascii="Times New Roman" w:hAnsi="Times New Roman"/>
        </w:rPr>
        <w:t>Tatsächlicher Prüfrahmen</w:t>
      </w:r>
    </w:p>
    <w:p>
      <w:pPr>
        <w:jc w:val="left"/>
      </w:pPr>
      <w:r>
        <w:t>Die Akte zeigt mehrere typische Brüche. Der CFO erklärt im Management-Call, das Schuldscheindarlehen sei 'frei handelbar', kennt aber den Wortlaut der Übertragungsklausel nicht; die Schuldschein-Notiz bestätigt einen Zustimmungsvorbehalt für bestimmte Erwerber. Das Portfolio Tape führt 180 Kundenfinanzierungen, weist aber nur bei 61 Einträgen eine Vertragsart aus; die Spalte 'Customer Finance' sagt nichts darüber, ob Ratenkauf, Darlehen, Mietkauf oder Leasing vorliegt. Die Unterschriftsseiten der Finanzierungsdokumente liegen teilweise nur als Scan vor. Deshalb wird jedes Dokument mit drei Fragen gelesen: Welche Tatsache belegt es? Welche Rechtsfolge soll daran geknüpft werden? Welche Gegenbehauptung der Verkäuferseite, der Zahlstelle oder des Security Agent ist realistisch?</w:t>
      </w:r>
    </w:p>
    <w:p>
      <w:pPr>
        <w:pStyle w:val="Heading2"/>
      </w:pPr>
      <w:r>
        <w:rPr>
          <w:rFonts w:ascii="Times New Roman" w:hAnsi="Times New Roman"/>
        </w:rPr>
        <w:t>Normprogramm</w:t>
      </w:r>
    </w:p>
    <w:p>
      <w:pPr>
        <w:jc w:val="left"/>
      </w:pPr>
      <w:r>
        <w:t>Die Prüfung beginnt mit der Rechtsnatur der einzelnen Übertragungsvorgänge. Für das Schuldscheindarlehen ist zu klären, ob die drei Tranchen durch Abtretung nach §§ 398 ff. BGB oder durch Vertragsübernahme übergehen und welche Notice-, Register- und Zustimmungserfordernisse die Bedingungen vom 14.09.2022 daran knüpfen; offen ist insbesondere, ob ein BidCo-naher Erwerber unter den Zustimmungsvorbehalt fällt. Für die LMA-Fazilität sind Change of Control, Mandatory Prepayment, Transfer- und Novationsmechanik sowie der Security Release am englischen Originaltext zu prüfen. Für das NPL-Portfolio stellen sich die Kreditkäufer- und Kreditdienstleisterfragen des Kreditzweitmarktgesetzes, die Erlaubnisfrage nach dem RDG, die Rechtsgrundlage der Schuldnerdatenübermittlung nach Art. 6 DSGVO und die Verwertung der Eigentumsvorbehalte an Maschinen. Für den Roll-over kommen § 17 EStG, die Einbringung nach § 21 UmwStG und die Wirksamkeitsgrenzen nachvertraglicher Wettbewerbsverbote nach § 138 BGB hinzu. Diese Matrix entscheidet, ob die Mandantenseite gestalten, nachfordern, Consents einholen oder die Struktur ändern muss.</w:t>
      </w:r>
    </w:p>
    <w:p>
      <w:pPr>
        <w:pStyle w:val="Heading2"/>
      </w:pPr>
      <w:r>
        <w:t>Subsumtion 1: Ausgangsposition</w:t>
      </w:r>
    </w:p>
    <w:p>
      <w:pPr>
        <w:jc w:val="left"/>
      </w:pPr>
      <w:r>
        <w:t>Rheintor Capital hat eine vertretbare, aber nicht risikolose Ausgangsposition. Der Datenraum ist mit 482 Dateien in 17 Hauptordnern substanzreich; Schuldscheinbedingungen von 2022, Facility Agreement von 2024, Servicing Agreement von 2019, Sicherheitenliste und Portfolio Tape zum 30.04.2026 liegen vor. Schwach ist, dass gerade die transaktionsentscheidenden Merkmale nicht durch finale Dokumente belegt sind: Die Schuldscheinbedingungen liegen nur als Auszug vor, die executed Version des Facility Agreement ist unbestätigt, das Transfer Certificate fehlt, 119 von 180 Tape-Einträgen sind ohne Vertragsart, und die Vendor-Loan-Höhe ist mit 25 Mio. EUR im Term Sheet und 15 Mio. EUR im Roll-over-Vermerk widersprüchlich dokumentiert.</w:t>
      </w:r>
    </w:p>
    <w:p>
      <w:pPr>
        <w:pStyle w:val="Heading2"/>
      </w:pPr>
      <w:r>
        <w:t>Subsumtion 2: Gegenseite und Verhandlungslogik</w:t>
      </w:r>
    </w:p>
    <w:p>
      <w:pPr>
        <w:jc w:val="left"/>
      </w:pPr>
      <w:r>
        <w:t>Die Gegenseite wird voraussichtlich nicht den gesamten Vorgang bestreiten, sondern an einzelnen Scharnieren ansetzen. Die Verkäuferseite behandelt Schuldschein, Altfazilität und NPL-Portfolio als bloßen 'Finanzierungsanhang' und verteidigt das Adjusted EBITDA von 28,4 Mio. EUR gegen die 22,1 Mio. EUR der Financial DD. Die Schuldscheingläubiger können den Zustimmungsvorbehalt aktivieren und Make-Whole-Forderungen stellen. Der Security Agent verlangt ein Update des Sicherheitenpakets vor dem Prepayment; am selben Vertrag hängt ein Hedge mit Break Costs. Das Management akzeptiert Leaver-Regeln, verweigert aber einen Bad-Leaver-Fall bei ordentlicher Eigenkündigung und fordert eine Roll-over-Bewertung pari passu zum Sponsoreinstieg. Die Antwort muss deshalb nicht laut, sondern präzise sein: Sie muss je Scharnier den Klauseltext, die Frist und den Beleg nennen.</w:t>
      </w:r>
    </w:p>
    <w:p>
      <w:pPr>
        <w:pStyle w:val="Heading2"/>
      </w:pPr>
      <w:r>
        <w:rPr>
          <w:rFonts w:ascii="Times New Roman" w:hAnsi="Times New Roman"/>
        </w:rPr>
        <w:t>Beweis- und Dokumentenstrategie</w:t>
      </w:r>
    </w:p>
    <w:p>
      <w:pPr>
        <w:jc w:val="left"/>
      </w:pPr>
      <w:r>
        <w:t>Für jede tragende Behauptung braucht die Akte einen Beleg. Die Behauptung der freien Handelbarkeit des Schuldscheins wird nicht übernommen, sondern durch Nachforderung des vollständigen Bedingungswerks und des Darlehensgeberregisters überprüft. Der Widerspruch zur Vendor-Loan-Höhe wird in einem Vermerk festgehalten und vor der Equity Bridge aufgelöst. Die technischen Angaben des Portfolio Tape werden in rechtliche Tatsachen übersetzt: Vertragsart je Kundenfinanzierung, Verbraucherstatus der vier Einzelunternehmer, Sicherungseigentum und Eigentumsvorbehalt an den 13 betroffenen Maschinen (davon 9 im Ausland), Mahnstand, die fünf Auskunftsersuchen nach Art. 15 DSGVO und die zwei bereits an Inkassodienstleister abgegebenen Forderungen.</w:t>
      </w:r>
    </w:p>
    <w:p>
      <w:pPr>
        <w:pStyle w:val="Heading2"/>
      </w:pPr>
      <w:r>
        <w:rPr>
          <w:rFonts w:ascii="Times New Roman" w:hAnsi="Times New Roman"/>
        </w:rPr>
        <w:t>Taktische Bewertung</w:t>
      </w:r>
    </w:p>
    <w:p>
      <w:pPr>
        <w:jc w:val="left"/>
      </w:pPr>
      <w:r>
        <w:t>Der beste nächste Schritt ist eine gestufte Reaktion. Zuerst wird die Akte geschlossen: Q&amp;A 117 (Change-of-Control-Korrespondenz zu den Tranchen B und D, Zieltermin 19.05.2026), Q&amp;A 124 (Einzelverträge und Sicherheiten der sechs größten notleidenden Forderungen, 20.05.2026) und Q&amp;A 131 (Bewertung der Managementbeteiligung) werden nachgehalten, dazu Register, executed Facility Agreement und Hedge-Dokumente. Zweitens werden Zahlstellenschreiben und Agent Call vorbereitet, die Consent-, Notice- und Release-Anforderungen verbindlich abfragen. Drittens wird ein Entscheidungsvermerk zu den vier NPL-Strukturvarianten erstellt — Verbleib im Target mit Kaufpreisanpassung, Carve-out an den Verkäufer, Verkauf an einen Kreditkäufer mit Servicer oder Einzelwertberichtigung mit SPA-Indemnity — samt Zeit-, Datenschutz- und Steuerfolgen. Viertens wird das Binding Offer mit Finance- und Regulatory-Conditions vorbereitet; parallel ist die im Datenraum nachgereichte Klage vor dem Landgericht Heidelberg (7 O 114/26) auszuwerten.</w:t>
      </w:r>
    </w:p>
    <w:p>
      <w:pPr>
        <w:pStyle w:val="Heading2"/>
      </w:pPr>
      <w:r>
        <w:rPr>
          <w:rFonts w:ascii="Times New Roman" w:hAnsi="Times New Roman"/>
        </w:rPr>
        <w:t>Ergebnis</w:t>
      </w:r>
    </w:p>
    <w:p>
      <w:pPr>
        <w:jc w:val="left"/>
      </w:pPr>
      <w:r>
        <w:t>Die Akte ist nicht mit einem einfachen Ja oder Nein erledigt. Der Erwerb der Heidelberger Präzisionstechnik-Gruppe ist rechtlich strukturierbar, aber kein Baustein ist derzeit closing-fähig dokumentiert. Kein Signing ohne vollständiges Schuldscheinpaket samt Consent-Matrix, executed Facility Agreement mit geklärtem Security Release, Strukturentscheidung zum NPL-Portfolio und Heads of Terms zur Managementbeteiligung. Werden diese vier Punkte ab sofort parallel betrieben, bleibt das Signing Mitte Juni 2026 erreichbar; scheitert einer, ist der Termin gegenüber Rheintor Capital frühzeitig neu zu setzen, bevor ein scheinbar kleines Formproblem — etwa eine versäumte Notice an die Zahlstelle — die materiell richtige Transaktionsstruktur zerstört.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