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Produktübersicht und Zweckbestimmung</w:t>
      </w:r>
    </w:p>
    <w:p>
      <w:pPr>
        <w:jc w:val="left"/>
      </w:pPr>
      <w:r>
        <w:t>Akte: Akte Vellbruck Robotics GmbH — Roboterflotte AtlasCare / LumaMove / Werkbank C7. Stand: 03.06.2026, interne Arbeitsfassung der Kanzlei Hagemann Rottkamp &amp; Partner.</w:t>
      </w:r>
    </w:p>
    <w:p>
      <w:pPr>
        <w:pStyle w:val="Heading2"/>
      </w:pPr>
      <w:r>
        <w:rPr>
          <w:rFonts w:ascii="Times New Roman" w:hAnsi="Times New Roman"/>
        </w:rPr>
        <w:t>Kernaussage</w:t>
      </w:r>
    </w:p>
    <w:p>
      <w:pPr>
        <w:jc w:val="left"/>
      </w:pPr>
      <w:r>
        <w:t>Diese Produktübersicht hält für alle vier Produkte Zweckbestimmung, Einsatzgrenzen und dokumentierte Abweichungen fest. Sie ist Referenz für Konformitätsbewertung, KI-VO-Einstufung und Haftungsfragen.</w:t>
      </w:r>
    </w:p>
    <w:p>
      <w:pPr>
        <w:pStyle w:val="Heading2"/>
      </w:pPr>
      <w:r>
        <w:rPr>
          <w:rFonts w:ascii="Times New Roman" w:hAnsi="Times New Roman"/>
        </w:rPr>
        <w:t>Einzelpunkte</w:t>
      </w:r>
    </w:p>
    <w:p>
      <w:pPr>
        <w:pStyle w:val="ListBullet"/>
      </w:pPr>
      <w:r>
        <w:t>Werkbank C7 als kollaborierende Roboterzelle: Die Zelle arbeitet ohne trennende Schutzeinrichtung mit Kraft- und Leistungsbegrenzung; die Risikobeurteilung vom 11.03.2026 bildet den Softwarestand vor Patch 2.7.1 ab.</w:t>
      </w:r>
    </w:p>
    <w:p>
      <w:pPr>
        <w:pStyle w:val="ListBullet"/>
      </w:pPr>
      <w:r>
        <w:t>LumaMove AMR als mobile Intralogistikflotte: Die Flotte LM-100 bis LM-108 fährt in vier Hallenzonen; das Eventlog vom 27.05.2026 zeigt Schutzfeldreduzierungen, manuelle Overrides und zwei Beinahekollisionen vor dem Unfall.</w:t>
      </w:r>
    </w:p>
    <w:p>
      <w:pPr>
        <w:pStyle w:val="ListBullet"/>
      </w:pPr>
      <w:r>
        <w:t>AtlasCare Pflegepilot als Assistenzsystem: AtlasCare läuft als Pilot in der Ludgerus-Klinik mit Kamera, Mikrofon, Sturzerkennung und Emotionsindikatoren; die Betroffeneninformation für Pflegekräfte fehlt in der DSFA vom 02.05.2026.</w:t>
      </w:r>
    </w:p>
    <w:p>
      <w:pPr>
        <w:pStyle w:val="ListBullet"/>
      </w:pPr>
      <w:r>
        <w:t>VellNet Control als Cloud/Flottenplattform: VellNet Control verteilt Routen, Parameter und Updates an alle Einheiten; der Legacy-Updatekanal ist Gegenstand des Researcher-Berichts VR-884.</w:t>
      </w:r>
    </w:p>
    <w:p>
      <w:pPr>
        <w:pStyle w:val="ListBullet"/>
      </w:pPr>
      <w:r>
        <w:t>Grenzen der bestimmungsgemäßen Verwendung: Die Anleitung verbietet Schutzfeldänderungen durch den Betreiber, das Admin-Menü lässt sie technisch zu; genau diese Lücke hat der Betreiber am 27.05.2026 genutzt.</w:t>
      </w:r>
    </w:p>
    <w:p>
      <w:pPr>
        <w:pStyle w:val="Heading2"/>
      </w:pPr>
      <w:r>
        <w:rPr>
          <w:rFonts w:ascii="Times New Roman" w:hAnsi="Times New Roman"/>
        </w:rPr>
        <w:t>Tatsachenstand</w:t>
      </w:r>
    </w:p>
    <w:p>
      <w:pPr>
        <w:jc w:val="left"/>
      </w:pPr>
      <w:r>
        <w:t>Werkbank C7 ist als kollaborierende Roboterzelle für Montagearbeitsplätze ausgelegt, LumaMove AMR als fahrerloses Transportsystem für Intralogistik, AtlasCare als Assistenzsystem im Pflegeumfeld; alle drei melden Telemetrie an die Plattform VellNet Control.</w:t>
      </w:r>
    </w:p>
    <w:p>
      <w:pPr>
        <w:jc w:val="left"/>
      </w:pPr>
      <w:r>
        <w:t>Die Marketingfolien bewerben eine vollautonome Flotte, während die technische Dokumentation ein assistiertes Transportsystem mit definierten Schutzfeldern beschreibt; diese Diskrepanz ist Gegenstand von Aktenstück 15.</w:t>
      </w:r>
    </w:p>
    <w:p>
      <w:pPr>
        <w:pStyle w:val="Heading2"/>
      </w:pPr>
      <w:r>
        <w:rPr>
          <w:rFonts w:ascii="Times New Roman" w:hAnsi="Times New Roman"/>
        </w:rPr>
        <w:t>Detailnotizen</w:t>
      </w:r>
    </w:p>
    <w:p>
      <w:pPr>
        <w:pStyle w:val="Heading3"/>
      </w:pPr>
      <w:r>
        <w:t>Werkbank C7 als kollaborierende Roboterzelle</w:t>
      </w:r>
    </w:p>
    <w:p>
      <w:pPr>
        <w:jc w:val="left"/>
      </w:pPr>
      <w:r>
        <w:t>Vor jeder weiteren Auslieferung ist die Risikobeurteilung auf den Stand 2.7.1 fortzuschreiben und die Validierungsmessung der Kraftbegrenzung zu wiederholen; Zuständigkeit liegt bei Jasper Rodenwald.</w:t>
      </w:r>
    </w:p>
    <w:p>
      <w:pPr>
        <w:pStyle w:val="Heading3"/>
      </w:pPr>
      <w:r>
        <w:t>LumaMove AMR als mobile Intralogistikflotte</w:t>
      </w:r>
    </w:p>
    <w:p>
      <w:pPr>
        <w:jc w:val="left"/>
      </w:pPr>
      <w:r>
        <w:t>Das vollständige Eventlog und die Konfigurationshistorie sind zu sichern und gegen die vertraglich erlaubten Parameterbereiche zu halten; die Sperrung des Admin-Menüs für Betreiber prüft Aktenstück 31.</w:t>
      </w:r>
    </w:p>
    <w:p>
      <w:pPr>
        <w:pStyle w:val="Heading3"/>
      </w:pPr>
      <w:r>
        <w:t>AtlasCare Pflegepilot als Assistenzsystem</w:t>
      </w:r>
    </w:p>
    <w:p>
      <w:pPr>
        <w:jc w:val="left"/>
      </w:pPr>
      <w:r>
        <w:t>Bis zur Nachlieferung der Betroffeneninformation ist der Funktionsumfang des Piloten auf Sturzerkennung zu begrenzen; die Datenschutzanfrage der Klinik vom 01.06.2026 beantwortet Samira Otten mit der Kanzlei.</w:t>
      </w:r>
    </w:p>
    <w:p>
      <w:pPr>
        <w:pStyle w:val="Heading3"/>
      </w:pPr>
      <w:r>
        <w:t>VellNet Control als Cloud/Flottenplattform</w:t>
      </w:r>
    </w:p>
    <w:p>
      <w:pPr>
        <w:jc w:val="left"/>
      </w:pPr>
      <w:r>
        <w:t>Für die Plattform sind Datenflussdiagramm, Rollenkonzept und Update-Freigabeprozess zusammenzustellen; die Abschaltung des Legacy-Kanals behandelt Aktenstück 08.</w:t>
      </w:r>
    </w:p>
    <w:p>
      <w:pPr>
        <w:pStyle w:val="Heading3"/>
      </w:pPr>
      <w:r>
        <w:t>Grenzen der bestimmungsgemäßen Verwendung</w:t>
      </w:r>
    </w:p>
    <w:p>
      <w:pPr>
        <w:jc w:val="left"/>
      </w:pPr>
      <w:r>
        <w:t>Die vernünftigerweise vorhersehbare Fehlanwendung ist in der Risikobeurteilung nachzutragen, weil ein frei zugängliches Admin-Menü Parameteränderungen praktisch nahelegt.</w:t>
      </w:r>
    </w:p>
    <w:p>
      <w:pPr>
        <w:pStyle w:val="Heading2"/>
      </w:pPr>
      <w:r>
        <w:rPr>
          <w:rFonts w:ascii="Times New Roman" w:hAnsi="Times New Roman"/>
        </w:rPr>
        <w:t>Offene Rückfragen</w:t>
      </w:r>
    </w:p>
    <w:p>
      <w:pPr>
        <w:pStyle w:val="ListBullet"/>
      </w:pPr>
      <w:r>
        <w:t>Welcher Softwarestand war je Produkt am 27.05.2026 ausgeliefert?</w:t>
      </w:r>
    </w:p>
    <w:p>
      <w:pPr>
        <w:pStyle w:val="ListBullet"/>
      </w:pPr>
      <w:r>
        <w:t>Welche Einsatzgrenzen nennt die ausgelieferte Anleitung wörtlich?</w:t>
      </w:r>
    </w:p>
    <w:p>
      <w:pPr>
        <w:pStyle w:val="ListBullet"/>
      </w:pPr>
      <w:r>
        <w:t>Welche Funktionen des AtlasCare-Piloten sind in der Klinik tatsächlich aktiv?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