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Datenschutzbeschwerde Pflegepilot</w:t>
      </w:r>
    </w:p>
    <w:p>
      <w:pPr>
        <w:jc w:val="left"/>
      </w:pPr>
      <w:r>
        <w:t>Akte: Akte Vellbruck Robotics GmbH — Roboterflotte AtlasCare / LumaMove / Werkbank C7. Stand: 07.06.2026,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bewertet die Datenschutzbeschwerde aus dem AtlasCare-Pilotbetrieb in der Ludgerus-Klinik. Er ordnet die Sensorik des Geräts den datenschutzrechtlichen Pflichten von Klinik und Vellbruck zu.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Kamera und Mikrofon im Zimmer: AtlasCare führt Kamera und Mikrofon in Patientenzimmern mit; ob eine Daueraufnahme oder nur ereignisbezogene Aktivierung erfolgt, ist in der Sensorliste nicht eindeutig beschrieben.</w:t>
      </w:r>
    </w:p>
    <w:p>
      <w:pPr>
        <w:pStyle w:val="ListBullet"/>
      </w:pPr>
      <w:r>
        <w:t>Sturzerkennung: Die Sturzerkennung verarbeitet Bewegungs- und Tiefendaten lokal; nur Alarmereignisse gehen an die Station und in die Cloud.</w:t>
      </w:r>
    </w:p>
    <w:p>
      <w:pPr>
        <w:pStyle w:val="ListBullet"/>
      </w:pPr>
      <w:r>
        <w:t>Emotion-/Stressindikatoren: Die Indikatoren leiten aus Stimme und Mimik Zustandswerte ab; sie berühren als Verarbeitung besonderer Kategorien die Gesundheitsdaten der Patienten und die Verhaltensdaten der Beschäftigten.</w:t>
      </w:r>
    </w:p>
    <w:p>
      <w:pPr>
        <w:pStyle w:val="ListBullet"/>
      </w:pPr>
      <w:r>
        <w:t>Patienten und Pflegekräfte: Betroffen sind zwei Gruppen mit unterschiedlichen Informationspflichten; die vorhandene Information adressiert nur Patienten.</w:t>
      </w:r>
    </w:p>
    <w:p>
      <w:pPr>
        <w:pStyle w:val="ListBullet"/>
      </w:pPr>
      <w:r>
        <w:t>DSFA und Transparenz: Die DSFA bewertet die Kamera, nicht aber Mikrofonie und Indikatorfunktionen; die Rollenverteilung zwischen Klinik als Verantwortlicher und Vellbruck als Auftragsverarbeiterin ist nur mündlich abgestimmt.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Klinik meldet mit E-Mail vom 01.06.2026, dass Patientinnen den Roboter als Überwachungsgerät wahrnehmen, und fordert DSFA, Betroffeneninformation, Sensorliste und Löschkonzept an.</w:t>
      </w:r>
    </w:p>
    <w:p>
      <w:pPr>
        <w:jc w:val="left"/>
      </w:pPr>
      <w:r>
        <w:t>Die DSFA vom 02.05.2026 ist unvollständig: Die Information der Pflegekräfte fehlt, die Emotions- und Stressindikatoren sind nicht als eigenes Verarbeitungsrisiko bewertet.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Kamera und Mikrofon im Zimmer</w:t>
      </w:r>
    </w:p>
    <w:p>
      <w:pPr>
        <w:jc w:val="left"/>
      </w:pPr>
      <w:r>
        <w:t>Die tatsächliche Aktivierungslogik ist vom Entwicklungsteam schriftlich bestätigen zu lassen; ohne Nachweis der Ereignissteuerung ist der Pilotbetrieb in belegten Zimmern auszusetzen.</w:t>
      </w:r>
    </w:p>
    <w:p>
      <w:pPr>
        <w:pStyle w:val="Heading3"/>
      </w:pPr>
      <w:r>
        <w:t>Sturzerkennung</w:t>
      </w:r>
    </w:p>
    <w:p>
      <w:pPr>
        <w:jc w:val="left"/>
      </w:pPr>
      <w:r>
        <w:t>Diese Edge-Verarbeitung ist datenschutzrechtlich der tragfähigste Teil des Systems und wird als Referenzarchitektur für die übrigen Funktionen dokumentiert.</w:t>
      </w:r>
    </w:p>
    <w:p>
      <w:pPr>
        <w:pStyle w:val="Heading3"/>
      </w:pPr>
      <w:r>
        <w:t>Emotion-/Stressindikatoren</w:t>
      </w:r>
    </w:p>
    <w:p>
      <w:pPr>
        <w:jc w:val="left"/>
      </w:pPr>
      <w:r>
        <w:t>Für diese Funktion ist eine eigene Rechtsgrundlagenprüfung erforderlich; bis dahin wird sie im Pilot deaktiviert, die Deaktivierung dokumentiert Rodenwald im Change-Log.</w:t>
      </w:r>
    </w:p>
    <w:p>
      <w:pPr>
        <w:pStyle w:val="Heading3"/>
      </w:pPr>
      <w:r>
        <w:t>Patienten und Pflegekräfte</w:t>
      </w:r>
    </w:p>
    <w:p>
      <w:pPr>
        <w:jc w:val="left"/>
      </w:pPr>
      <w:r>
        <w:t>Die Betroffeneninformation für Pflegekräfte wird mit dem Betriebsrat der Klinik abgestimmt; Muster liefert die Kanzlei bis 08.06.2026.</w:t>
      </w:r>
    </w:p>
    <w:p>
      <w:pPr>
        <w:pStyle w:val="Heading3"/>
      </w:pPr>
      <w:r>
        <w:t>DSFA und Transparenz</w:t>
      </w:r>
    </w:p>
    <w:p>
      <w:pPr>
        <w:jc w:val="left"/>
      </w:pPr>
      <w:r>
        <w:t>Die DSFA wird bis 15.06.2026 überarbeitet, der Auftragsverarbeitungsvertrag um Sensorliste und Löschkonzept ergänzt; die Antwort an die Klinik entwerfen Otten und die Kanzlei gemeinsam.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Läuft die Kamera dauerhaft oder nur ereignisbezogen?</w:t>
      </w:r>
    </w:p>
    <w:p>
      <w:pPr>
        <w:pStyle w:val="ListBullet"/>
      </w:pPr>
      <w:r>
        <w:t>Auf welche Rechtsgrundlage stützt die Klinik die Indikatorfunktionen?</w:t>
      </w:r>
    </w:p>
    <w:p>
      <w:pPr>
        <w:pStyle w:val="ListBullet"/>
      </w:pPr>
      <w:r>
        <w:t>Wer beantwortet die Beschwerde gegenüber der Aufsichtsbehörde, falls sie eskaliert?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