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KI-VO Klassifizierung und Zweckwechsel</w:t>
      </w:r>
    </w:p>
    <w:p>
      <w:pPr>
        <w:jc w:val="left"/>
      </w:pPr>
      <w:r>
        <w:t>Akte: Akte Vellbruck Robotics GmbH — Roboterflotte AtlasCare / LumaMove / Werkbank C7. Stand: 09.06.2026,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prüft die Einstufung der Vellbruck-Produkte unter der KI-Verordnung und die Folgen des eigenmächtigen Zweckwechsels durch den Betreiber. Ergebnisoffen bleibt, ob die Flottensteuerung als Hochrisiko-System einzuordnen ist.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Art.-3-Prüfung: Objekterkennung und Routenplanung erfüllen die Merkmale eines KI-Systems; die regelbasierte Not-Halt-Logik für sich genommen nicht.</w:t>
      </w:r>
    </w:p>
    <w:p>
      <w:pPr>
        <w:pStyle w:val="ListBullet"/>
      </w:pPr>
      <w:r>
        <w:t>Sicherheitskomponente: Dient die KI-Objekterkennung als Sicherheitskomponente eines maschinenrechtlich regulierten Produkts, rückt das System in die Hochrisiko-Kategorie.</w:t>
      </w:r>
    </w:p>
    <w:p>
      <w:pPr>
        <w:pStyle w:val="ListBullet"/>
      </w:pPr>
      <w:r>
        <w:t>Anhang III Beschäftigung/Pflege: Die Emotionserkennung von AtlasCare im Arbeitsumfeld der Pflegekräfte berührt zusätzlich die Fallgruppen zu Beschäftigten und Emotionserkennung.</w:t>
      </w:r>
    </w:p>
    <w:p>
      <w:pPr>
        <w:pStyle w:val="ListBullet"/>
      </w:pPr>
      <w:r>
        <w:t>Zweckänderung durch Betreiber: Wer ein System unter eigenem Namen wesentlich verändert oder zweckentfremdet betreibt, kann selbst in Anbieterpflichten einrücken; die Schutzfeldreduzierung des Betreibers ist der Testfall.</w:t>
      </w:r>
    </w:p>
    <w:p>
      <w:pPr>
        <w:pStyle w:val="ListBullet"/>
      </w:pPr>
      <w:r>
        <w:t>Human Oversight: Das Oversight-Konzept sieht menschliche Eingriffsmöglichkeit über Leitstand und Not-Halt vor; am Unfalltag war der Leitstand zeitweise unbesetzt.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Objekterkennung der LumaMove-Flotte und die Indikatorfunktionen von AtlasCare sind KI-Systeme im Sinne der Begriffsbestimmung; die Flottensteuerung wirkt auf physische Sicherheit, AtlasCare berührt Pflege und Beschäftigtenumfeld.</w:t>
      </w:r>
    </w:p>
    <w:p>
      <w:pPr>
        <w:jc w:val="left"/>
      </w:pPr>
      <w:r>
        <w:t>Der Betreiber hat durch die Schutzfeldänderung die Systemauslegung verändert; ob darin eine wesentliche Änderung liegt, die Betreiberpflichten auslöst, ist zentraler Streitpunkt.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Art.-3-Prüfung</w:t>
      </w:r>
    </w:p>
    <w:p>
      <w:pPr>
        <w:jc w:val="left"/>
      </w:pPr>
      <w:r>
        <w:t>Die Systemgrenzen werden komponentenweise dokumentiert, damit die Einstufung nicht pauschal die gesamte Plattform erfasst; Grundlage ist die Architekturskizze aus Aktenstück 17.</w:t>
      </w:r>
    </w:p>
    <w:p>
      <w:pPr>
        <w:pStyle w:val="Heading3"/>
      </w:pPr>
      <w:r>
        <w:t>Sicherheitskomponente</w:t>
      </w:r>
    </w:p>
    <w:p>
      <w:pPr>
        <w:jc w:val="left"/>
      </w:pPr>
      <w:r>
        <w:t>Zu klären ist, ob die Schutzfeldüberwachung allein sensorbasiert-deterministisch arbeitet oder ob KI-Ausgaben sicherheitsrelevant durchgreifen; die Antwort bestimmt den Konformitätspfad.</w:t>
      </w:r>
    </w:p>
    <w:p>
      <w:pPr>
        <w:pStyle w:val="Heading3"/>
      </w:pPr>
      <w:r>
        <w:t>Anhang III Beschäftigung/Pflege</w:t>
      </w:r>
    </w:p>
    <w:p>
      <w:pPr>
        <w:jc w:val="left"/>
      </w:pPr>
      <w:r>
        <w:t>Für die Indikatorfunktionen wird geprüft, ob ein Verbotstatbestand oder eine Hochrisiko-Einstufung greift; bis dahin bleibt die Funktion deaktiviert, siehe Aktenstück 07.</w:t>
      </w:r>
    </w:p>
    <w:p>
      <w:pPr>
        <w:pStyle w:val="Heading3"/>
      </w:pPr>
      <w:r>
        <w:t>Zweckänderung durch Betreiber</w:t>
      </w:r>
    </w:p>
    <w:p>
      <w:pPr>
        <w:jc w:val="left"/>
      </w:pPr>
      <w:r>
        <w:t>Der Vortrag gegenüber Behörde und Versicherer stellt die Betreiberänderung als eigenverantwortliche Systemveränderung dar, ohne die eigene Dokumentationslücke zu verschweigen.</w:t>
      </w:r>
    </w:p>
    <w:p>
      <w:pPr>
        <w:pStyle w:val="Heading3"/>
      </w:pPr>
      <w:r>
        <w:t>Human Oversight</w:t>
      </w:r>
    </w:p>
    <w:p>
      <w:pPr>
        <w:jc w:val="left"/>
      </w:pPr>
      <w:r>
        <w:t>Das Konzept aus Aktenstück 18 wird um Mindestbesetzung und Alarmierungsketten ergänzt; die Besetzungslücke am 27.05.2026 wird in der Beweismatrix erfasst.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Greifen KI-Ausgaben sicherheitsrelevant in die Schutzfeldlogik durch?</w:t>
      </w:r>
    </w:p>
    <w:p>
      <w:pPr>
        <w:pStyle w:val="ListBullet"/>
      </w:pPr>
      <w:r>
        <w:t>Ab wann gilt die Betreiberänderung als wesentliche Änderung?</w:t>
      </w:r>
    </w:p>
    <w:p>
      <w:pPr>
        <w:pStyle w:val="ListBullet"/>
      </w:pPr>
      <w:r>
        <w:t>Welche Übergangsfristen der KI-VO sind für die Produkte maßgeblich?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