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Beschlussvorlage Geschäftsführung</w:t>
      </w:r>
    </w:p>
    <w:p>
      <w:pPr>
        <w:jc w:val="left"/>
      </w:pPr>
      <w:r>
        <w:t>Akte: Akte Vellbruck Robotics GmbH — Roboterflotte AtlasCare / LumaMove / Werkbank C7. Stand: 11.06.2026,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 Beschlussvorlage bündelt die Sofortentscheidungen der Geschäftsführung zu Unfall, Marktüberwachung, Patch 2.7.1 und AtlasCare-Pilot. Jede Option ist mit Kosten, Risiko und Zuständigkeit hinterlegt.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Sofortmaßnahmen: Vorgeschlagen sind Sperrung des Admin-Menüs per Konfigurationsupdate, Sicherung aller Logdaten und Aussetzung der Indikatorfunktionen im Pflegepilot.</w:t>
      </w:r>
    </w:p>
    <w:p>
      <w:pPr>
        <w:pStyle w:val="ListBullet"/>
      </w:pPr>
      <w:r>
        <w:t>Kommunikation: Kunden, Behörde, Versicherer und Belegschaft erhalten abgestimmte, aber unterschiedliche Informationsstände; einzige externe Sprecherin ist die Kanzlei.</w:t>
      </w:r>
    </w:p>
    <w:p>
      <w:pPr>
        <w:pStyle w:val="ListBullet"/>
      </w:pPr>
      <w:r>
        <w:t>Budget: Für Forensik, Sachverständige, Übersetzungen und Patch-Validierung werden 240.000 EUR freigegeben; eine Rückrufrückstellung wird vorbereitet, aber noch nicht gebucht.</w:t>
      </w:r>
    </w:p>
    <w:p>
      <w:pPr>
        <w:pStyle w:val="ListBullet"/>
      </w:pPr>
      <w:r>
        <w:t>externe Sachverständige: Vorgeschlagen wird ein akkreditierter Robotik-Sachverständiger für die Unfallrekonstruktion und eine getrennte Prüfstelle für die Patch-Validierung.</w:t>
      </w:r>
    </w:p>
    <w:p>
      <w:pPr>
        <w:pStyle w:val="ListBullet"/>
      </w:pPr>
      <w:r>
        <w:t>Rückrufschwelle: Ein Rückruf wird ausgelöst, wenn sich die Schutzfeldänderung ohne Betreiberzutun reproduzieren lässt oder die Behörde Maßnahmen anordnet.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Entscheidungsbedarf besteht bis 05.06.2026 für die Patch-Strategie, bis 12.06.2026 für den eingefrorenen Dokumentationsstand und bis 19.06.2026 für die Behördenantwort.</w:t>
      </w:r>
    </w:p>
    <w:p>
      <w:pPr>
        <w:jc w:val="left"/>
      </w:pPr>
      <w:r>
        <w:t>Die CEO hat am 01.06.2026 ein erstes Ampelbild angefordert; der Versicherer hat Deckungsentscheidungen von der Produktakte abhängig gemacht.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Sofortmaßnahmen</w:t>
      </w:r>
    </w:p>
    <w:p>
      <w:pPr>
        <w:jc w:val="left"/>
      </w:pPr>
      <w:r>
        <w:t>Die drei Maßnahmen sind ohne Kundenzustimmung umsetzbar und werden im Maßnahmenprotokoll mit Zeitstempel dokumentiert; Umsetzung meldet Rodenwald bis 04.06.2026.</w:t>
      </w:r>
    </w:p>
    <w:p>
      <w:pPr>
        <w:pStyle w:val="Heading3"/>
      </w:pPr>
      <w:r>
        <w:t>Kommunikation</w:t>
      </w:r>
    </w:p>
    <w:p>
      <w:pPr>
        <w:jc w:val="left"/>
      </w:pPr>
      <w:r>
        <w:t>Freigaberegel: Keine schriftliche Aussage zu Unfallursachen ohne Gegenzeichnung der Kanzlei; das Presse-Q&amp;A (Aktenstück 41) gilt als einzige Sprachregelung.</w:t>
      </w:r>
    </w:p>
    <w:p>
      <w:pPr>
        <w:pStyle w:val="Heading3"/>
      </w:pPr>
      <w:r>
        <w:t>Budget</w:t>
      </w:r>
    </w:p>
    <w:p>
      <w:pPr>
        <w:jc w:val="left"/>
      </w:pPr>
      <w:r>
        <w:t>Die Rückstellungsfrage wird mit dem Abschlussprüfer vorbesprochen, sobald die Rückrufschwelle (unten) konkretisiert ist.</w:t>
      </w:r>
    </w:p>
    <w:p>
      <w:pPr>
        <w:pStyle w:val="Heading3"/>
      </w:pPr>
      <w:r>
        <w:t>externe Sachverständige</w:t>
      </w:r>
    </w:p>
    <w:p>
      <w:pPr>
        <w:jc w:val="left"/>
      </w:pPr>
      <w:r>
        <w:t>Die Trennung verhindert, dass die Unfallanalyse die Update-Freigabe verzögert; Briefing des Unfallgutachters nach Aktenstück 36.</w:t>
      </w:r>
    </w:p>
    <w:p>
      <w:pPr>
        <w:pStyle w:val="Heading3"/>
      </w:pPr>
      <w:r>
        <w:t>Rückrufschwelle</w:t>
      </w:r>
    </w:p>
    <w:p>
      <w:pPr>
        <w:jc w:val="left"/>
      </w:pPr>
      <w:r>
        <w:t>Bis dahin gilt die Field Action nach Aktenstück 20 (Konfigurationssperre plus Patch) als mildere, dokumentierte Alternative.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Reicht die Konfigurationssperre als Field Action gegenüber der Behörde?</w:t>
      </w:r>
    </w:p>
    <w:p>
      <w:pPr>
        <w:pStyle w:val="ListBullet"/>
      </w:pPr>
      <w:r>
        <w:t>Wann wird die Rückrufrückstellung buchhalterisch erforderlich?</w:t>
      </w:r>
    </w:p>
    <w:p>
      <w:pPr>
        <w:pStyle w:val="ListBullet"/>
      </w:pPr>
      <w:r>
        <w:t>Wer vertritt die Geschäftsführung im Krisenstab bei Abwesenheit der CEO?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