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CE-Akte: Lückenliste und Nachforderungen</w:t>
      </w:r>
    </w:p>
    <w:p>
      <w:pPr>
        <w:jc w:val="left"/>
      </w:pPr>
      <w:r>
        <w:t>Akte: Akte Vellbruck Robotics GmbH — Roboterflotte AtlasCare / LumaMove / Werkbank C7. Stand: 12.06.2026,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 Gap-Liste hält je Produkt fest, welche Unterlagen der CE-Produktakte vorhanden, veraltet oder offen sind. Sie steuert die Nacharbeit bis zur Behördenfrist am 19.06.2026.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CE: Formal tragen beide Maschinenprodukte die CE-Kennzeichnung; die zugrunde liegenden Akten sind aber nicht auf dem ausgelieferten Softwarestand.</w:t>
      </w:r>
    </w:p>
    <w:p>
      <w:pPr>
        <w:pStyle w:val="ListBullet"/>
      </w:pPr>
      <w:r>
        <w:t>technische Dokumentation: Konstruktionsunterlagen, Softwarestände und Prüfberichte liegen in drei Systemen ohne führende Version.</w:t>
      </w:r>
    </w:p>
    <w:p>
      <w:pPr>
        <w:pStyle w:val="ListBullet"/>
      </w:pPr>
      <w:r>
        <w:t>Risikobeurteilung: Die Beurteilung der Werkbank C7 erfasst weder Patch 2.7.1 noch die vorhersehbare Fehlanwendung über das Admin-Menü.</w:t>
      </w:r>
    </w:p>
    <w:p>
      <w:pPr>
        <w:pStyle w:val="ListBullet"/>
      </w:pPr>
      <w:r>
        <w:t>Anleitung: Sicherheitskapitel liegen teilweise nur auf Englisch vor; die deutsche Fassung ist bei der Marktüberwachungsantwort als Nachlieferung angekündigt.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Nach der Unterlagenmatrix ist die EU-Konformitätserklärung LumaMove nur Entwurf 0.8 (Unterzeichner und Normenliste offen), die Risikobeurteilung Werkbank C7 datiert vom 11.03.2026 ohne Patch 2.7.1, der Wartungsnachweis des Betreibers fehlt vollständig.</w:t>
      </w:r>
    </w:p>
    <w:p>
      <w:pPr>
        <w:jc w:val="left"/>
      </w:pPr>
      <w:r>
        <w:t>Die DSFA AtlasCare und die SBOM VellNet Control sind nur teilweise vorhanden; beide sind in eigenen Aktenstücken (07, 24) adressiert.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CE</w:t>
      </w:r>
    </w:p>
    <w:p>
      <w:pPr>
        <w:jc w:val="left"/>
      </w:pPr>
      <w:r>
        <w:t>Je Produkt wird ein Soll-Ist-Abgleich mit Datum und Verantwortlichem geführt; kein Dokument wird rückdatiert, Lücken werden als Lücken ausgewiesen.</w:t>
      </w:r>
    </w:p>
    <w:p>
      <w:pPr>
        <w:pStyle w:val="Heading3"/>
      </w:pPr>
      <w:r>
        <w:t>technische Dokumentation</w:t>
      </w:r>
    </w:p>
    <w:p>
      <w:pPr>
        <w:jc w:val="left"/>
      </w:pPr>
      <w:r>
        <w:t>Die Entwicklungsablage wird zur führenden Quelle bestimmt; der am 12.06.2026 eingefrorene Stand bildet die Behördenfassung.</w:t>
      </w:r>
    </w:p>
    <w:p>
      <w:pPr>
        <w:pStyle w:val="Heading3"/>
      </w:pPr>
      <w:r>
        <w:t>Risikobeurteilung</w:t>
      </w:r>
    </w:p>
    <w:p>
      <w:pPr>
        <w:jc w:val="left"/>
      </w:pPr>
      <w:r>
        <w:t>Beide Punkte werden als Änderungsvermerk mit eigener Bewertung nachgetragen; die Methodik bleibt unverändert, damit die Historie nachvollziehbar ist.</w:t>
      </w:r>
    </w:p>
    <w:p>
      <w:pPr>
        <w:pStyle w:val="Heading3"/>
      </w:pPr>
      <w:r>
        <w:t>Anleitung</w:t>
      </w:r>
    </w:p>
    <w:p>
      <w:pPr>
        <w:jc w:val="left"/>
      </w:pPr>
      <w:r>
        <w:t>Übersetzung und fachliche Prüfung laufen parallel; Auslieferung neuer Einheiten erfolgt erst mit vollständiger deutscher Anleitung.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Welche Normenliste gilt für die finale Konformitätserklärung LumaMove?</w:t>
      </w:r>
    </w:p>
    <w:p>
      <w:pPr>
        <w:pStyle w:val="ListBullet"/>
      </w:pPr>
      <w:r>
        <w:t>Bis wann liegt der Änderungsvermerk zur Risikobeurteilung vor?</w:t>
      </w:r>
    </w:p>
    <w:p>
      <w:pPr>
        <w:pStyle w:val="ListBullet"/>
      </w:pPr>
      <w:r>
        <w:t>Wer zeichnet die Behördenfassung der Produktakte frei?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