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Risikobeurteilung Auszug: mechanisch, elektrisch, digital</w:t>
      </w:r>
    </w:p>
    <w:p>
      <w:pPr>
        <w:jc w:val="left"/>
      </w:pPr>
      <w:r>
        <w:t>Akte: Akte Vellbruck Robotics GmbH — Roboterflotte AtlasCare / LumaMove / Werkbank C7. Stand: 13.06.2026,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Auszug dokumentiert den Stand der Risikobeurteilung der Werkbank C7 vom 11.03.2026 und markiert die Punkte, die nach dem Unfall und vor Patch 2.7.1 neu zu bewerten sind.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Gefährdungen: Erfasst sind Quetsch- und Stoßstellen der Zelle sowie Transportgefahren der AMR-Schnittstelle; nicht erfasst ist die Manipulation von Schutzfeldern durch Betreiberpersonal.</w:t>
      </w:r>
    </w:p>
    <w:p>
      <w:pPr>
        <w:pStyle w:val="ListBullet"/>
      </w:pPr>
      <w:r>
        <w:t>Risikominderung: Die Beurteilung setzt auf inhärent sichere Konstruktion und Kraftbegrenzung; organisatorische Maßnahmen beim Betreiber sind als flankierend eingestuft.</w:t>
      </w:r>
    </w:p>
    <w:p>
      <w:pPr>
        <w:pStyle w:val="ListBullet"/>
      </w:pPr>
      <w:r>
        <w:t>Validierung: Die Validierungsmessungen stammen vom Softwarestand 2.5; für 2.7.1 existieren nur Herstellerangaben des Sensorlieferanten.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Beurteilung deckt mechanische Gefährdungen, Kraft- und Leistungsbegrenzung und das Zusammenwirken mit Werkern am Montagearbeitsplatz ab; Softwareänderungen nach dem 11.03.2026 sind nicht erfasst.</w:t>
      </w:r>
    </w:p>
    <w:p>
      <w:pPr>
        <w:jc w:val="left"/>
      </w:pPr>
      <w:r>
        <w:t>Die vorhersehbare Fehlanwendung über das frei zugängliche Admin-Menü ist in der geltenden Fassung nicht bewertet, obwohl der Unfall vom 27.05.2026 genau diesen Pfad genommen hat.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Gefährdungen</w:t>
      </w:r>
    </w:p>
    <w:p>
      <w:pPr>
        <w:jc w:val="left"/>
      </w:pPr>
      <w:r>
        <w:t>Die Gefährdungsliste wird um Konfigurationsmissbrauch und um den Mischverkehr in Halle 12 ergänzt; die Logbefunde vom 27.05.2026 dienen als Ereignisgrundlage.</w:t>
      </w:r>
    </w:p>
    <w:p>
      <w:pPr>
        <w:pStyle w:val="Heading3"/>
      </w:pPr>
      <w:r>
        <w:t>Risikominderung</w:t>
      </w:r>
    </w:p>
    <w:p>
      <w:pPr>
        <w:jc w:val="left"/>
      </w:pPr>
      <w:r>
        <w:t>Nach dem Unfall wird die Rangfolge korrigiert: technische Sperre des Admin-Menüs vor organisatorischen Vorgaben; die Sperre ist Teil von Patch 2.7.1.</w:t>
      </w:r>
    </w:p>
    <w:p>
      <w:pPr>
        <w:pStyle w:val="Heading3"/>
      </w:pPr>
      <w:r>
        <w:t>Validierung</w:t>
      </w:r>
    </w:p>
    <w:p>
      <w:pPr>
        <w:jc w:val="left"/>
      </w:pPr>
      <w:r>
        <w:t>Die Messreihe wird nach dem verkürzten Validierungsplan (Aktenstück 20) wiederholt; ohne neue Messung wird 2.7.1 nicht für Sicherheitsfunktionen freigegeben.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Softwarestände sind bei Bestandskunden tatsächlich aktiv?</w:t>
      </w:r>
    </w:p>
    <w:p>
      <w:pPr>
        <w:pStyle w:val="ListBullet"/>
      </w:pPr>
      <w:r>
        <w:t>Wer verantwortet die Fortschreibung der Beurteilung methodisch?</w:t>
      </w:r>
    </w:p>
    <w:p>
      <w:pPr>
        <w:pStyle w:val="ListBullet"/>
      </w:pPr>
      <w:r>
        <w:t>Welche Messungen verlangt die Validierung nach Patch 2.7.1 mindestens?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