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Betriebsanleitung: Widersprüche und Warnhinweise</w:t>
      </w:r>
    </w:p>
    <w:p>
      <w:pPr>
        <w:jc w:val="left"/>
      </w:pPr>
      <w:r>
        <w:t>Akte: Akte Vellbruck Robotics GmbH — Roboterflotte AtlasCare / LumaMove / Werkbank C7. Stand: 14.06.2026,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stellt die Widersprüche zwischen Betriebsanleitung, Schulungsunterlagen und tatsächlicher Bedienpraxis zusammen. Er ist Grundlage für den Instruktionsfehler-Komplex und die Behördenantwort.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Sprache: Bedienpersonal in Halle 12 wird deutsch unterwiesen, die Warnhinweise der Kapitel 4 und 7 existieren nur englisch; das genügt den Sprachanforderungen für sicherheitsrelevante Informationen nicht.</w:t>
      </w:r>
    </w:p>
    <w:p>
      <w:pPr>
        <w:pStyle w:val="ListBullet"/>
      </w:pPr>
      <w:r>
        <w:t>Warnungen: Die Warnung vor Betrieb mit reduziertem Schutzfeld steht nur im Administratorenteil, nicht im Bedienerteil; der Bediener am Unfalltag konnte die Gefahr aus seiner Anleitung nicht erkennen.</w:t>
      </w:r>
    </w:p>
    <w:p>
      <w:pPr>
        <w:pStyle w:val="ListBullet"/>
      </w:pPr>
      <w:r>
        <w:t>Zielgruppen: Die Anleitung mischt Integrator-, Administrator- und Bedienerinhalte in einem Dokument; die Zielgruppentrennung ist nur typografisch angedeutet.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Die Anleitung der LumaMove-Flotte verbietet Schutzfeldänderungen durch den Betreiber, beschreibt aber zugleich das Admin-Menü, über das solche Änderungen ausgeführt werden können; die sicherheitsrelevanten Kapitel 4 und 7 liegen nur auf Englisch vor.</w:t>
      </w:r>
    </w:p>
    <w:p>
      <w:pPr>
        <w:jc w:val="left"/>
      </w:pPr>
      <w:r>
        <w:t>Die Schulungsunterlagen des Betreibers erwähnen das Admin-Menü nicht; Schichtteam B wurde seit dem 14.02.2026 nicht unterwiesen.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Sprache</w:t>
      </w:r>
    </w:p>
    <w:p>
      <w:pPr>
        <w:jc w:val="left"/>
      </w:pPr>
      <w:r>
        <w:t>Die deutschen Fassungen werden priorisiert übersetzt und fachlich geprüft; Auslieferungen und Behördenantwort verweisen auf den Übersetzungstermin.</w:t>
      </w:r>
    </w:p>
    <w:p>
      <w:pPr>
        <w:pStyle w:val="Heading3"/>
      </w:pPr>
      <w:r>
        <w:t>Warnungen</w:t>
      </w:r>
    </w:p>
    <w:p>
      <w:pPr>
        <w:jc w:val="left"/>
      </w:pPr>
      <w:r>
        <w:t>Die Warnhierarchie wird neu geschnitten: Jede Gefahr, die den Bediener trifft, erscheint im Bedienerteil; die Änderung geht in die nächste Anleitungsrevision.</w:t>
      </w:r>
    </w:p>
    <w:p>
      <w:pPr>
        <w:pStyle w:val="Heading3"/>
      </w:pPr>
      <w:r>
        <w:t>Zielgruppen</w:t>
      </w:r>
    </w:p>
    <w:p>
      <w:pPr>
        <w:jc w:val="left"/>
      </w:pPr>
      <w:r>
        <w:t>Die Revision trennt drei Zielgruppendokumente mit eigener Freigabe; bis dahin erhält der Betreiber ein Übergangsblatt mit den bedienerrelevanten Warnungen.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Welche Anleitungsversion lag der Auslieferung an das Logistikzentrum bei?</w:t>
      </w:r>
    </w:p>
    <w:p>
      <w:pPr>
        <w:pStyle w:val="ListBullet"/>
      </w:pPr>
      <w:r>
        <w:t>Wurde das Übergangsblatt dem Betreiber nachweisbar zugestellt?</w:t>
      </w:r>
    </w:p>
    <w:p>
      <w:pPr>
        <w:pStyle w:val="ListBullet"/>
      </w:pPr>
      <w:r>
        <w:t>Welche Sprachfassungen verlangt die Behörde für die Nachlieferung?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