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Fragenkatalog des Versicherers</w:t>
      </w:r>
    </w:p>
    <w:p>
      <w:pPr>
        <w:jc w:val="left"/>
      </w:pPr>
      <w:r>
        <w:t>Akte: Akte Vellbruck Robotics GmbH — Roboterflotte AtlasCare / LumaMove / Werkbank C7. Stand: 22.06.2026,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bereitet die Antworten auf den Fragenkatalog der Donau-Isar Industrieversicherung vom 01.06.2026 vor. Er sichert, dass Deckungsobliegenheiten erfüllt werden, ohne die Verteidigungslinie zu schwächen.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Deckung: In Betracht kommen Produkthaftpflicht, Rückrufkosten- und Cyberdeckung; die Abgrenzung hängt davon ab, ob der Schaden auf Produktfehler, Betreiberänderung oder Schwachstelle zurückgeht.</w:t>
      </w:r>
    </w:p>
    <w:p>
      <w:pPr>
        <w:pStyle w:val="ListBullet"/>
      </w:pPr>
      <w:r>
        <w:t>Rückrufkosten: Die Rückrufkostendeckung setzt eine dokumentierte Rückrufentscheidung voraus; die mildere Field Action könnte aus der Deckung fallen.</w:t>
      </w:r>
    </w:p>
    <w:p>
      <w:pPr>
        <w:pStyle w:val="ListBullet"/>
      </w:pPr>
      <w:r>
        <w:t>Abwehr: Für die Abwehr der Ansprüche des Verletzten besteht Deckungszusage dem Grunde nach noch nicht; der Vorbehalt stützt sich auf die fehlenden Wartungsnachweise des Betreibers.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Versicherer verlangt Produktakte, Wartungsnachweise, Rückrufentscheidung, Behördenkorrespondenz und eine Darstellung der Betreiberänderungen, bevor er über Deckung für Rückruf- und Abwehrkosten entscheidet.</w:t>
      </w:r>
    </w:p>
    <w:p>
      <w:pPr>
        <w:jc w:val="left"/>
      </w:pPr>
      <w:r>
        <w:t>Die Produktakte weist die in Aktenstück 12 dokumentierten Lücken auf; eine beschönigende Darstellung gegenüber dem Versicherer wäre eine eigene Obliegenheitsverletzung.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Deckung</w:t>
      </w:r>
    </w:p>
    <w:p>
      <w:pPr>
        <w:jc w:val="left"/>
      </w:pPr>
      <w:r>
        <w:t>Die Anspruchsmeldung wird dreigleisig formuliert, damit keine Deckung durch Festlegung auf eine Ursache verloren geht; Fristen der Bedingungswerke sind notiert.</w:t>
      </w:r>
    </w:p>
    <w:p>
      <w:pPr>
        <w:pStyle w:val="Heading3"/>
      </w:pPr>
      <w:r>
        <w:t>Rückrufkosten</w:t>
      </w:r>
    </w:p>
    <w:p>
      <w:pPr>
        <w:jc w:val="left"/>
      </w:pPr>
      <w:r>
        <w:t>Beim Versicherer wird schriftlich angefragt, ob die dokumentierte Field Action der Rückrufentscheidung gleichsteht; die Antwort fließt in die Entscheidung der Geschäftsführung ein.</w:t>
      </w:r>
    </w:p>
    <w:p>
      <w:pPr>
        <w:pStyle w:val="Heading3"/>
      </w:pPr>
      <w:r>
        <w:t>Abwehr</w:t>
      </w:r>
    </w:p>
    <w:p>
      <w:pPr>
        <w:jc w:val="left"/>
      </w:pPr>
      <w:r>
        <w:t>Dem Versicherer wird dargelegt, dass die Wartungsnachweise beim Betreiber liegen und angefordert sind; die eigene Update-Historie aus VellNet Control wird vollständig vorgelegt.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Steht die Field Action der Rückrufentscheidung deckungsrechtlich gleich?</w:t>
      </w:r>
    </w:p>
    <w:p>
      <w:pPr>
        <w:pStyle w:val="ListBullet"/>
      </w:pPr>
      <w:r>
        <w:t>Welche Fristen setzen die Bedingungswerke für die Anspruchsmeldung?</w:t>
      </w:r>
    </w:p>
    <w:p>
      <w:pPr>
        <w:pStyle w:val="ListBullet"/>
      </w:pPr>
      <w:r>
        <w:t>Deckt die Cyberpolice die Kosten der VR-884-Behandlung?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