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Lieferantenvertrag OptiSense S.A.</w:t>
      </w:r>
    </w:p>
    <w:p>
      <w:pPr>
        <w:jc w:val="left"/>
      </w:pPr>
      <w:r>
        <w:t>Akte: Akte Vellbruck Robotics GmbH — Roboterflotte AtlasCare / LumaMove / Werkbank C7. Stand: 23.06.2026,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wertet den Liefervertrag mit der OptiSense S.A. über die Sicherheitssensorik aus. Er klärt Zusicherungen, Haftungsverteilung und Datenrechte für den Regressfall.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Sensoren: Die Beschaffenheitszusage erfasst Erkennungsreichweite und Ansprechzeit; sie setzt Kalibrierung nach Vorgabe voraus.</w:t>
      </w:r>
    </w:p>
    <w:p>
      <w:pPr>
        <w:pStyle w:val="ListBullet"/>
      </w:pPr>
      <w:r>
        <w:t>Haftung: Die Obergrenze von 2 Mio. EUR gilt nicht bei Verletzung der Beschaffenheitszusage; Personenschäden sind ausgenommen.</w:t>
      </w:r>
    </w:p>
    <w:p>
      <w:pPr>
        <w:pStyle w:val="ListBullet"/>
      </w:pPr>
      <w:r>
        <w:t>Daten: OptiSense erhält vertraglich Felddaten zur Produktverbesserung; der Umfang kollidiert möglicherweise mit dem Betreibervertrag und dem Datenzugangsrecht des Kunden.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OptiSense liefert die Lidar- und Kameramodule der LumaMove-Einheiten nebst Kalibriervorgaben; der Vertrag enthält eine Beschaffenheitszusage auf die einschlägigen Sensornormen und eine Haftungsobergrenze von 2 Mio. EUR je Schadensfall.</w:t>
      </w:r>
    </w:p>
    <w:p>
      <w:pPr>
        <w:jc w:val="left"/>
      </w:pPr>
      <w:r>
        <w:t>Die Wartungsprotokolle von Schärlein Automation weichen von den Kalibriervorgaben ab; ob die Sensorik am 27.05.2026 in kalibriertem Zustand lief, ist offen.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Sensoren</w:t>
      </w:r>
    </w:p>
    <w:p>
      <w:pPr>
        <w:jc w:val="left"/>
      </w:pPr>
      <w:r>
        <w:t>Von OptiSense werden die Kalibrierzertifikate der verbauten Module angefordert; parallel wird geprüft, ob die Abweichung der Wartungspraxis die Zusage entfallen lässt.</w:t>
      </w:r>
    </w:p>
    <w:p>
      <w:pPr>
        <w:pStyle w:val="Heading3"/>
      </w:pPr>
      <w:r>
        <w:t>Haftung</w:t>
      </w:r>
    </w:p>
    <w:p>
      <w:pPr>
        <w:jc w:val="left"/>
      </w:pPr>
      <w:r>
        <w:t>Für den Regress wird die Anspruchskette Vellbruck gegen OptiSense und gegen Schärlein getrennt aufgebaut; Einzelheiten in Aktenstück 40.</w:t>
      </w:r>
    </w:p>
    <w:p>
      <w:pPr>
        <w:pStyle w:val="Heading3"/>
      </w:pPr>
      <w:r>
        <w:t>Daten</w:t>
      </w:r>
    </w:p>
    <w:p>
      <w:pPr>
        <w:jc w:val="left"/>
      </w:pPr>
      <w:r>
        <w:t>Der Datenfluss an OptiSense wird inventarisiert und mit den Zusagen aus dem Betreibervertrag abgeglichen; Übermittlungen personenbeziehbarer Daten werden gestoppt.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War die Sensorik von LM-104 am Unfalltag kalibriert?</w:t>
      </w:r>
    </w:p>
    <w:p>
      <w:pPr>
        <w:pStyle w:val="ListBullet"/>
      </w:pPr>
      <w:r>
        <w:t>Greift die Haftungsobergrenze im Regressfall?</w:t>
      </w:r>
    </w:p>
    <w:p>
      <w:pPr>
        <w:pStyle w:val="ListBullet"/>
      </w:pPr>
      <w:r>
        <w:t>Welche Felddaten erhält OptiSense tatsächlich?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