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FOSS- und SBOM-Auswertung</w:t>
      </w:r>
    </w:p>
    <w:p>
      <w:pPr>
        <w:jc w:val="left"/>
      </w:pPr>
      <w:r>
        <w:t>Akte: Akte Vellbruck Robotics GmbH — Roboterflotte AtlasCare / LumaMove / Werkbank C7. Stand: 24.06.2026,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 Auswertung konsolidiert die Software-Stückliste der Plattform VellNet Control und der Gerätefirmware. Sie verbindet Lizenzpflichten mit der Schwachstellenlage aus Bericht VR-884.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Open Source: Die Lizenzlage ist für die Auslieferungspraxis relevant: Attributionslisten fehlen in der Anleitung, die Schriftform der Lizenztexte ist nicht erfüllt.</w:t>
      </w:r>
    </w:p>
    <w:p>
      <w:pPr>
        <w:pStyle w:val="ListBullet"/>
      </w:pPr>
      <w:r>
        <w:t>Dependencies: Ohne vollständige transitive Auflösung bleibt die Betroffenheitsanalyse für Schwachstellen lückenhaft; genau daran scheiterte die schnelle Bewertung von VR-884.</w:t>
      </w:r>
    </w:p>
    <w:p>
      <w:pPr>
        <w:pStyle w:val="ListBullet"/>
      </w:pPr>
      <w:r>
        <w:t>CVE: Für die betroffene Updatekanal-Komponente existiert noch keine CVE-Nummer; drei weitere Komponenten haben offene, aber nicht ausnutzbare Einträge.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Der SBOM-Export vom 31.05.2026 erfasst die direkten Abhängigkeiten, nicht aber alle transitiven Pakete; die Lizenzangaben sind bei 14 Komponenten leer.</w:t>
      </w:r>
    </w:p>
    <w:p>
      <w:pPr>
        <w:jc w:val="left"/>
      </w:pPr>
      <w:r>
        <w:t>Die Gerätefirmware enthält eine Copyleft-Komponente im Netzwerkstack; ob deren Einbindung die Offenlegungspflicht auslöst, hängt von der Linkart ab.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Open Source</w:t>
      </w:r>
    </w:p>
    <w:p>
      <w:pPr>
        <w:jc w:val="left"/>
      </w:pPr>
      <w:r>
        <w:t>Die Attributionsliste wird generiert und in Anleitung und Weboberfläche aufgenommen; die Copyleft-Komponente prüft die Kanzlei auf Linkart und Ersetzbarkeit.</w:t>
      </w:r>
    </w:p>
    <w:p>
      <w:pPr>
        <w:pStyle w:val="Heading3"/>
      </w:pPr>
      <w:r>
        <w:t>Dependencies</w:t>
      </w:r>
    </w:p>
    <w:p>
      <w:pPr>
        <w:jc w:val="left"/>
      </w:pPr>
      <w:r>
        <w:t>Die SBOM wird toolgestützt mit transitiver Auflösung neu erzeugt und versioniert je Release abgelegt; sie wird Teil der Release-Gates aus Aktenstück 46.</w:t>
      </w:r>
    </w:p>
    <w:p>
      <w:pPr>
        <w:pStyle w:val="Heading3"/>
      </w:pPr>
      <w:r>
        <w:t>CVE</w:t>
      </w:r>
    </w:p>
    <w:p>
      <w:pPr>
        <w:jc w:val="left"/>
      </w:pPr>
      <w:r>
        <w:t>Die Bewertung der drei Einträge wird dokumentiert (nicht ausnutzbar wegen Konfiguration); die Koordination der VR-884-Offenlegung läuft nach Aktenstück 08.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 Linkart bindet die Copyleft-Komponente ein?</w:t>
      </w:r>
    </w:p>
    <w:p>
      <w:pPr>
        <w:pStyle w:val="ListBullet"/>
      </w:pPr>
      <w:r>
        <w:t>Sind die 14 Komponenten ohne Lizenzangabe identifizierbar?</w:t>
      </w:r>
    </w:p>
    <w:p>
      <w:pPr>
        <w:pStyle w:val="ListBullet"/>
      </w:pPr>
      <w:r>
        <w:t>Wer pflegt die SBOM je Release verbindlich?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