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Data Act und Roboterdaten</w:t>
      </w:r>
    </w:p>
    <w:p>
      <w:pPr>
        <w:jc w:val="left"/>
      </w:pPr>
      <w:r>
        <w:t>Akte: Akte Vellbruck Robotics GmbH — Roboterflotte AtlasCare / LumaMove / Werkbank C7. Stand: 26.06.2026,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prüft die Datenzugangsansprüche des Betreibers auf die bei der Nutzung der Flotte erzeugten Daten. Er grenzt Herausgabepflichten von Geschäftsgeheimnissen ab.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Nutzerzugang: Als Nutzerin des vernetzten Produkts hat die Betreiberin Anspruch auf die bei der Nutzung erzeugten Daten in einem gängigen Format.</w:t>
      </w:r>
    </w:p>
    <w:p>
      <w:pPr>
        <w:pStyle w:val="ListBullet"/>
      </w:pPr>
      <w:r>
        <w:t>B2B: Vertragsklauseln, die den Datenzugang ausschließen, sind an den Grenzen für einseitig auferlegte Klauseln zu messen; der Betreibervertrag enthält keine ausdrückliche Regelung.</w:t>
      </w:r>
    </w:p>
    <w:p>
      <w:pPr>
        <w:pStyle w:val="ListBullet"/>
      </w:pPr>
      <w:r>
        <w:t>Geheimnisse: Modellparameter und Sicherheitskonfigurationen sind vom Zugangsanspruch nicht erfasst, soweit ihr Schutz dargelegt wird.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Betreiber hat am 02.06.2026 Zugang zu sämtlichen Event- und Telemetriedaten seiner Flotte verlangt, erkennbar zur eigenen Entlastung im Unfallkomplex.</w:t>
      </w:r>
    </w:p>
    <w:p>
      <w:pPr>
        <w:jc w:val="left"/>
      </w:pPr>
      <w:r>
        <w:t>Die Rohdaten enthalten neben Nutzungsdaten auch Konfigurationsalgorithmen und Modellparameter, die Vellbruck als Geschäftsgeheimnis behandelt.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Nutzerzugang</w:t>
      </w:r>
    </w:p>
    <w:p>
      <w:pPr>
        <w:jc w:val="left"/>
      </w:pPr>
      <w:r>
        <w:t>Herausgegeben werden Eventlogs und Telemetrie der eigenen Flotte einschließlich des 27.05.2026; die Herausgabe wird protokolliert und mit identischem Datensatz an die eigene Forensik gespiegelt.</w:t>
      </w:r>
    </w:p>
    <w:p>
      <w:pPr>
        <w:pStyle w:val="Heading3"/>
      </w:pPr>
      <w:r>
        <w:t>B2B</w:t>
      </w:r>
    </w:p>
    <w:p>
      <w:pPr>
        <w:jc w:val="left"/>
      </w:pPr>
      <w:r>
        <w:t>Für die Vertragsrevision wird ein Datenzugangsanhang entworfen: Formate, Fristen, Kostenregelung und Geheimnisschutz in einem Dokument.</w:t>
      </w:r>
    </w:p>
    <w:p>
      <w:pPr>
        <w:pStyle w:val="Heading3"/>
      </w:pPr>
      <w:r>
        <w:t>Geheimnisse</w:t>
      </w:r>
    </w:p>
    <w:p>
      <w:pPr>
        <w:jc w:val="left"/>
      </w:pPr>
      <w:r>
        <w:t>Die Geheimnisdarlegung wird je Datenkategorie vorbereitet; die Trennlinie dokumentiert die Kanzlei, damit die Herausgabe nicht als selektiv angreifbar ist.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Datenkategorien verlangt der Betreiber genau?</w:t>
      </w:r>
    </w:p>
    <w:p>
      <w:pPr>
        <w:pStyle w:val="ListBullet"/>
      </w:pPr>
      <w:r>
        <w:t>Ist die Herausgabe der Konfigurationshistorie des remote-admin-Kontos geschuldet?</w:t>
      </w:r>
    </w:p>
    <w:p>
      <w:pPr>
        <w:pStyle w:val="ListBullet"/>
      </w:pPr>
      <w:r>
        <w:t>Welche Formate gelten als gängig im Sinne des Zugangsanspruchs?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