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Wartungsprotokolle und Lücken</w:t>
      </w:r>
    </w:p>
    <w:p>
      <w:pPr>
        <w:jc w:val="left"/>
      </w:pPr>
      <w:r>
        <w:t>Akte: Akte Vellbruck Robotics GmbH — Roboterflotte AtlasCare / LumaMove / Werkbank C7. Stand: 30.06.2026,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Dieser Vermerk wertet die Wartungsprotokolle der LumaMove-Flotte aus und dokumentiert die Lücken, die der Versicherer und die Behörde bemängeln werden.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Service: Der Wartungsvertrag verpflichtet Schärlein zu Quartalswartung mit Protokoll; die Ausfälle sind unstreitig, die Nachholung ist nicht dokumentiert.</w:t>
      </w:r>
    </w:p>
    <w:p>
      <w:pPr>
        <w:pStyle w:val="ListBullet"/>
      </w:pPr>
      <w:r>
        <w:t>Kalibrierung: Ohne Q2-Kalibrierung ist der Sensorzustand am Unfalltag nicht belegt; das schwächt sowohl die eigene Verteidigung als auch den Regress gegen OptiSense.</w:t>
      </w:r>
    </w:p>
    <w:p>
      <w:pPr>
        <w:pStyle w:val="ListBullet"/>
      </w:pPr>
      <w:r>
        <w:t>Remotezugriff: Die fehlende Zuordnung der Remotesitzungen zu Wartungsprotokollen ist die zentrale Dokumentationslücke des Falls.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Die Protokolle von Schärlein Automation weisen für Q1 2026 zwei ausgefallene Wartungstermine aus; die Kalibrierung der Sensorik ist zuletzt für Januar 2026 dokumentiert, die Vorgabe von OptiSense verlangt Quartalskalibrierung.</w:t>
      </w:r>
    </w:p>
    <w:p>
      <w:pPr>
        <w:jc w:val="left"/>
      </w:pPr>
      <w:r>
        <w:t>Remotewartungen sind im Ticketsystem erfasst, aber nicht durchgängig den Protokollen zugeordnet; die remote-admin-Sitzungen vom 27.05.2026 fehlen in den Wartungsunterlagen vollständig.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Service</w:t>
      </w:r>
    </w:p>
    <w:p>
      <w:pPr>
        <w:jc w:val="left"/>
      </w:pPr>
      <w:r>
        <w:t>Schärlein wird zur Nachholung und zur Vervollständigung der Protokolle aufgefordert; die Ausfälle werden für den Regress (Aktenstück 40) gesichert.</w:t>
      </w:r>
    </w:p>
    <w:p>
      <w:pPr>
        <w:pStyle w:val="Heading3"/>
      </w:pPr>
      <w:r>
        <w:t>Kalibrierung</w:t>
      </w:r>
    </w:p>
    <w:p>
      <w:pPr>
        <w:jc w:val="left"/>
      </w:pPr>
      <w:r>
        <w:t>Die betroffenen Einheiten werden kurzfristig nachkalibriert und der Ist-Zustand vorher messtechnisch dokumentiert, damit der Zustand vom 27.05.2026 rekonstruierbar bleibt.</w:t>
      </w:r>
    </w:p>
    <w:p>
      <w:pPr>
        <w:pStyle w:val="Heading3"/>
      </w:pPr>
      <w:r>
        <w:t>Remotezugriff</w:t>
      </w:r>
    </w:p>
    <w:p>
      <w:pPr>
        <w:jc w:val="left"/>
      </w:pPr>
      <w:r>
        <w:t>Künftig wird jede Remotesitzung automatisch mit Ticketnummer, Konto und Zweck protokolliert; die Regel geht als Änderung in den Wartungsvertrag.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Wurden die ausgefallenen Wartungen nachgeholt?</w:t>
      </w:r>
    </w:p>
    <w:p>
      <w:pPr>
        <w:pStyle w:val="ListBullet"/>
      </w:pPr>
      <w:r>
        <w:t>Wer autorisierte die Remotesitzungen vom 27.05.2026?</w:t>
      </w:r>
    </w:p>
    <w:p>
      <w:pPr>
        <w:pStyle w:val="ListBullet"/>
      </w:pPr>
      <w:r>
        <w:t>Welche Kalibrierintervalle verlangt OptiSense verbindlich?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