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Update- und Change-Control-Akte</w:t>
      </w:r>
    </w:p>
    <w:p>
      <w:pPr>
        <w:jc w:val="left"/>
      </w:pPr>
      <w:r>
        <w:t>Akte: Akte Vellbruck Robotics GmbH — Roboterflotte AtlasCare / LumaMove / Werkbank C7. Stand: 31.06.2026,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beschreibt den Freigabeprozess für Software- und Konfigurationsänderungen und seine Lücken. Er begründet, warum das Admin-Menü für Betreiber gesperrt wird.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Freigabe: Der Freigabeprozess erfasst Releases, nicht aber Parameteränderungen im Feld; genau dort liegt das Einfallstor des Unfalls.</w:t>
      </w:r>
    </w:p>
    <w:p>
      <w:pPr>
        <w:pStyle w:val="ListBullet"/>
      </w:pPr>
      <w:r>
        <w:t>Versionen: Die Versionsstände der Bestandsflotte sind in VellNet Control abrufbar, wurden aber nie gegen die freigegebenen Stände abgeglichen.</w:t>
      </w:r>
    </w:p>
    <w:p>
      <w:pPr>
        <w:pStyle w:val="ListBullet"/>
      </w:pPr>
      <w:r>
        <w:t>Zweckänderung: Parameteränderungen durch Betreiber können die Systemauslegung verändern, ohne dass Vellbruck davon erfährt; das berührt Produktbeobachtung und KI-VO-Pflichten.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Firmware-Releases durchlaufen QM-Freigabe und Vier-Augen-Prinzip; Konfigurationsänderungen über das Admin-Menü unterliegen dagegen keiner Freigabe und keiner zentralen Protokollierung.</w:t>
      </w:r>
    </w:p>
    <w:p>
      <w:pPr>
        <w:jc w:val="left"/>
      </w:pPr>
      <w:r>
        <w:t>Die Schutzfeldänderungen vom 27.05.2026 waren deshalb technisch möglich, vertraglich verboten und im Change-Prozess unsichtbar.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Freigabe</w:t>
      </w:r>
    </w:p>
    <w:p>
      <w:pPr>
        <w:jc w:val="left"/>
      </w:pPr>
      <w:r>
        <w:t>Sicherheitsrelevante Parameter werden in die Freigabepflicht einbezogen: Änderung nur durch autorisierte Rollen mit Ticket und Protokoll; Umsetzung mit Patch 2.7.1.</w:t>
      </w:r>
    </w:p>
    <w:p>
      <w:pPr>
        <w:pStyle w:val="Heading3"/>
      </w:pPr>
      <w:r>
        <w:t>Versionen</w:t>
      </w:r>
    </w:p>
    <w:p>
      <w:pPr>
        <w:jc w:val="left"/>
      </w:pPr>
      <w:r>
        <w:t>Ein monatlicher Soll-Ist-Abgleich wird eingerichtet; Abweichungen lösen automatisch ein Ticket an QM aus.</w:t>
      </w:r>
    </w:p>
    <w:p>
      <w:pPr>
        <w:pStyle w:val="Heading3"/>
      </w:pPr>
      <w:r>
        <w:t>Zweckänderung</w:t>
      </w:r>
    </w:p>
    <w:p>
      <w:pPr>
        <w:jc w:val="left"/>
      </w:pPr>
      <w:r>
        <w:t>Das Konfigurationsprotokoll wird an das Vorfallsregister (Aktenstück 19) angebunden, damit auslegungsrelevante Änderungen sichtbar werden.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Welche Parameter gelten als sicherheitsrelevant im Sinne der Freigabepflicht?</w:t>
      </w:r>
    </w:p>
    <w:p>
      <w:pPr>
        <w:pStyle w:val="ListBullet"/>
      </w:pPr>
      <w:r>
        <w:t>Wie viele Bestandseinheiten weichen vom freigegebenen Stand ab?</w:t>
      </w:r>
    </w:p>
    <w:p>
      <w:pPr>
        <w:pStyle w:val="ListBullet"/>
      </w:pPr>
      <w:r>
        <w:t>Wer erhält die Abweichungstickets?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