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Sachverständigenbriefing</w:t>
      </w:r>
    </w:p>
    <w:p>
      <w:pPr>
        <w:jc w:val="left"/>
      </w:pPr>
      <w:r>
        <w:t>Akte: Akte Vellbruck Robotics GmbH — Roboterflotte AtlasCare / LumaMove / Werkbank C7. Stand: 36.06.2026, interne Arbeitsfassung der Kanzlei Hagemann Rottkamp &amp; Partner.</w:t>
      </w:r>
    </w:p>
    <w:p>
      <w:pPr>
        <w:pStyle w:val="Heading2"/>
      </w:pPr>
      <w:r>
        <w:rPr>
          <w:rFonts w:ascii="Times New Roman" w:hAnsi="Times New Roman"/>
        </w:rPr>
        <w:t>Kernaussage</w:t>
      </w:r>
    </w:p>
    <w:p>
      <w:pPr>
        <w:jc w:val="left"/>
      </w:pPr>
      <w:r>
        <w:t>Dieses Briefing beauftragt den Robotik-Sachverständigen mit der Unfallrekonstruktion. Es formuliert neutrale Prüfhypothesen und sichert die Verwertbarkeit der Ergebnisse.</w:t>
      </w:r>
    </w:p>
    <w:p>
      <w:pPr>
        <w:pStyle w:val="Heading2"/>
      </w:pPr>
      <w:r>
        <w:rPr>
          <w:rFonts w:ascii="Times New Roman" w:hAnsi="Times New Roman"/>
        </w:rPr>
        <w:t>Einzelpunkte</w:t>
      </w:r>
    </w:p>
    <w:p>
      <w:pPr>
        <w:pStyle w:val="ListBullet"/>
      </w:pPr>
      <w:r>
        <w:t>Hypothesen: Geprüft werden drei Szenarien: Kollision trotz korrekten Schutzfelds, Kollision wegen reduzierten Schutzfelds, Sensor- oder Fusionsfehler unabhängig von der Konfiguration.</w:t>
      </w:r>
    </w:p>
    <w:p>
      <w:pPr>
        <w:pStyle w:val="ListBullet"/>
      </w:pPr>
      <w:r>
        <w:t>Logs: Die Logdaten sind vollständig für die Zonen 1 bis 4, aber ohne Rohsensordaten der Einheit LM-104 zwischen 08:52 und 08:58 Uhr; die Lücke ist zu erklären.</w:t>
      </w:r>
    </w:p>
    <w:p>
      <w:pPr>
        <w:pStyle w:val="ListBullet"/>
      </w:pPr>
      <w:r>
        <w:t>Tests: Reproduktionstests laufen an einer baugleichen Referenzeinheit, nicht an LM-104, um den Beweiswert des Originals zu erhalten.</w:t>
      </w:r>
    </w:p>
    <w:p>
      <w:pPr>
        <w:pStyle w:val="Heading2"/>
      </w:pPr>
      <w:r>
        <w:rPr>
          <w:rFonts w:ascii="Times New Roman" w:hAnsi="Times New Roman"/>
        </w:rPr>
        <w:t>Tatsachenstand</w:t>
      </w:r>
    </w:p>
    <w:p>
      <w:pPr>
        <w:jc w:val="left"/>
      </w:pPr>
      <w:r>
        <w:t>Zu rekonstruieren ist der Ablauf vom 27.05.2026 zwischen 08:00 und 09:30 Uhr anhand von Eventlog, Konfigurationshistorie, Sensordaten und Hallenvideo; die Rohdaten sind gesichert und gehasht.</w:t>
      </w:r>
    </w:p>
    <w:p>
      <w:pPr>
        <w:jc w:val="left"/>
      </w:pPr>
      <w:r>
        <w:t>Der Gutachter erhält beide Ursachenhypothesen offen: Produktlücke (frei zugängliches Admin-Menü) und Betreiberänderung (Schutzfeldreduzierung um 08:10 und 08:50 Uhr).</w:t>
      </w:r>
    </w:p>
    <w:p>
      <w:pPr>
        <w:pStyle w:val="Heading2"/>
      </w:pPr>
      <w:r>
        <w:rPr>
          <w:rFonts w:ascii="Times New Roman" w:hAnsi="Times New Roman"/>
        </w:rPr>
        <w:t>Detailnotizen</w:t>
      </w:r>
    </w:p>
    <w:p>
      <w:pPr>
        <w:pStyle w:val="Heading3"/>
      </w:pPr>
      <w:r>
        <w:t>Hypothesen</w:t>
      </w:r>
    </w:p>
    <w:p>
      <w:pPr>
        <w:jc w:val="left"/>
      </w:pPr>
      <w:r>
        <w:t>Jedes Szenario erhält definierte Prüfschritte und Abbruchkriterien; der Gutachter dokumentiert auch negative Befunde.</w:t>
      </w:r>
    </w:p>
    <w:p>
      <w:pPr>
        <w:pStyle w:val="Heading3"/>
      </w:pPr>
      <w:r>
        <w:t>Logs</w:t>
      </w:r>
    </w:p>
    <w:p>
      <w:pPr>
        <w:jc w:val="left"/>
      </w:pPr>
      <w:r>
        <w:t>Die Loglücke wird als eigener Prüfauftrag formuliert (Pufferüberlauf, Übertragungsfehler oder Löschung); das Ergebnis ist für die Beweiswürdigung zentral.</w:t>
      </w:r>
    </w:p>
    <w:p>
      <w:pPr>
        <w:pStyle w:val="Heading3"/>
      </w:pPr>
      <w:r>
        <w:t>Tests</w:t>
      </w:r>
    </w:p>
    <w:p>
      <w:pPr>
        <w:jc w:val="left"/>
      </w:pPr>
      <w:r>
        <w:t>LM-104 bleibt versiegelt; jede Untersuchung am Original erfolgt nur gemeinsam mit einem von der Gegenseite benannten Sachverständigen.</w:t>
      </w:r>
    </w:p>
    <w:p>
      <w:pPr>
        <w:pStyle w:val="Heading2"/>
      </w:pPr>
      <w:r>
        <w:rPr>
          <w:rFonts w:ascii="Times New Roman" w:hAnsi="Times New Roman"/>
        </w:rPr>
        <w:t>Offene Rückfragen</w:t>
      </w:r>
    </w:p>
    <w:p>
      <w:pPr>
        <w:pStyle w:val="ListBullet"/>
      </w:pPr>
      <w:r>
        <w:t>Wie erklärt sich die Loglücke zwischen 08:52 und 08:58 Uhr?</w:t>
      </w:r>
    </w:p>
    <w:p>
      <w:pPr>
        <w:pStyle w:val="ListBullet"/>
      </w:pPr>
      <w:r>
        <w:t>Lässt sich Szenario 2 an der Referenzeinheit reproduzieren?</w:t>
      </w:r>
    </w:p>
    <w:p>
      <w:pPr>
        <w:pStyle w:val="ListBullet"/>
      </w:pPr>
      <w:r>
        <w:t>Wann steht der Zwischenbericht des Gutachters zur Verfügung?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